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7CB2" w:rsidRPr="00657CB2" w:rsidRDefault="00657CB2" w:rsidP="00657CB2">
      <w:pPr>
        <w:rPr>
          <w:rFonts w:ascii="Arial" w:hAnsi="Arial" w:cs="Arial"/>
        </w:rPr>
      </w:pPr>
      <w:r w:rsidRPr="00657CB2">
        <w:rPr>
          <w:rFonts w:ascii="Arial" w:hAnsi="Arial" w:cs="Arial"/>
        </w:rPr>
        <w:t xml:space="preserve">Materiál predkladaný na </w:t>
      </w:r>
      <w:r w:rsidR="008A38D3">
        <w:rPr>
          <w:rFonts w:ascii="Arial" w:hAnsi="Arial" w:cs="Arial"/>
        </w:rPr>
        <w:t>7</w:t>
      </w:r>
      <w:r w:rsidR="0053100D">
        <w:rPr>
          <w:rFonts w:ascii="Arial" w:hAnsi="Arial" w:cs="Arial"/>
        </w:rPr>
        <w:t>/1</w:t>
      </w:r>
      <w:r w:rsidR="00CE4723">
        <w:rPr>
          <w:rFonts w:ascii="Arial" w:hAnsi="Arial" w:cs="Arial"/>
        </w:rPr>
        <w:t>1</w:t>
      </w:r>
      <w:r w:rsidRPr="00657CB2">
        <w:rPr>
          <w:rFonts w:ascii="Arial" w:hAnsi="Arial" w:cs="Arial"/>
        </w:rPr>
        <w:t xml:space="preserve"> zasadnutie</w:t>
      </w:r>
    </w:p>
    <w:p w:rsidR="00657CB2" w:rsidRPr="00657CB2" w:rsidRDefault="00657CB2" w:rsidP="00657CB2">
      <w:pPr>
        <w:rPr>
          <w:rFonts w:ascii="Arial" w:hAnsi="Arial" w:cs="Arial"/>
        </w:rPr>
      </w:pPr>
      <w:r w:rsidRPr="00657CB2">
        <w:rPr>
          <w:rFonts w:ascii="Arial" w:hAnsi="Arial" w:cs="Arial"/>
        </w:rPr>
        <w:t>Dozornej rady Sociálnej poisťovne</w:t>
      </w:r>
    </w:p>
    <w:p w:rsidR="00657CB2" w:rsidRPr="00657CB2" w:rsidRDefault="00657CB2" w:rsidP="00657CB2">
      <w:pPr>
        <w:rPr>
          <w:rFonts w:ascii="Arial" w:hAnsi="Arial" w:cs="Arial"/>
        </w:rPr>
      </w:pPr>
      <w:r w:rsidRPr="00657CB2">
        <w:rPr>
          <w:rFonts w:ascii="Arial" w:hAnsi="Arial" w:cs="Arial"/>
        </w:rPr>
        <w:t xml:space="preserve">konané </w:t>
      </w:r>
      <w:r w:rsidR="00025C71">
        <w:rPr>
          <w:rFonts w:ascii="Arial" w:hAnsi="Arial" w:cs="Arial"/>
        </w:rPr>
        <w:t xml:space="preserve">dňa </w:t>
      </w:r>
      <w:r w:rsidR="008A38D3">
        <w:rPr>
          <w:rFonts w:ascii="Arial" w:hAnsi="Arial" w:cs="Arial"/>
        </w:rPr>
        <w:t>6. decembra</w:t>
      </w:r>
      <w:r w:rsidR="00CE4723">
        <w:rPr>
          <w:rFonts w:ascii="Arial" w:hAnsi="Arial" w:cs="Arial"/>
        </w:rPr>
        <w:t xml:space="preserve"> 2011</w:t>
      </w:r>
    </w:p>
    <w:p w:rsidR="00657CB2" w:rsidRPr="00657CB2" w:rsidRDefault="00657CB2" w:rsidP="00657CB2">
      <w:pPr>
        <w:rPr>
          <w:rFonts w:ascii="Arial" w:hAnsi="Arial" w:cs="Arial"/>
        </w:rPr>
      </w:pPr>
    </w:p>
    <w:p w:rsidR="00657CB2" w:rsidRPr="005D0790" w:rsidRDefault="00657CB2" w:rsidP="00657CB2">
      <w:pPr>
        <w:rPr>
          <w:rFonts w:cs="Arial"/>
        </w:rPr>
      </w:pPr>
    </w:p>
    <w:p w:rsidR="00657CB2" w:rsidRPr="005D0790" w:rsidRDefault="00657CB2" w:rsidP="00657CB2">
      <w:pPr>
        <w:rPr>
          <w:rFonts w:cs="Arial"/>
        </w:rPr>
      </w:pPr>
    </w:p>
    <w:p w:rsidR="00657CB2" w:rsidRPr="00D960B4" w:rsidRDefault="00756CD5" w:rsidP="00657CB2">
      <w:pPr>
        <w:jc w:val="center"/>
        <w:rPr>
          <w:rFonts w:ascii="Arial Black" w:hAnsi="Arial Black"/>
          <w:sz w:val="52"/>
          <w:szCs w:val="52"/>
        </w:rPr>
      </w:pPr>
      <w:r>
        <w:rPr>
          <w:rFonts w:ascii="Arial Black" w:hAnsi="Arial Black"/>
          <w:sz w:val="52"/>
          <w:szCs w:val="52"/>
        </w:rPr>
        <w:t>3</w:t>
      </w:r>
    </w:p>
    <w:p w:rsidR="00657CB2" w:rsidRPr="00B1538A" w:rsidRDefault="00657CB2" w:rsidP="00657CB2">
      <w:pPr>
        <w:rPr>
          <w:rFonts w:cs="Arial"/>
        </w:rPr>
      </w:pPr>
    </w:p>
    <w:p w:rsidR="00657CB2" w:rsidRPr="00B1538A" w:rsidRDefault="00657CB2" w:rsidP="00657CB2">
      <w:pPr>
        <w:pStyle w:val="Zkladntext"/>
        <w:jc w:val="center"/>
        <w:rPr>
          <w:rFonts w:cs="Arial"/>
          <w:b/>
          <w:caps/>
          <w:sz w:val="28"/>
        </w:rPr>
      </w:pPr>
      <w:r w:rsidRPr="00B1538A">
        <w:rPr>
          <w:rFonts w:cs="Arial"/>
          <w:b/>
          <w:caps/>
          <w:sz w:val="28"/>
        </w:rPr>
        <w:t xml:space="preserve">správa o hospodárení sociálnej poisťovne </w:t>
      </w:r>
      <w:r w:rsidRPr="00B1538A">
        <w:rPr>
          <w:rFonts w:cs="Arial"/>
          <w:b/>
          <w:caps/>
          <w:sz w:val="28"/>
        </w:rPr>
        <w:br/>
        <w:t xml:space="preserve">v </w:t>
      </w:r>
      <w:r w:rsidR="000B5A7C">
        <w:rPr>
          <w:rFonts w:cs="Arial"/>
          <w:b/>
          <w:caps/>
          <w:sz w:val="28"/>
        </w:rPr>
        <w:t>mesiacoch január a</w:t>
      </w:r>
      <w:r w:rsidR="00D40A40">
        <w:rPr>
          <w:rFonts w:cs="Arial"/>
          <w:b/>
          <w:caps/>
          <w:sz w:val="28"/>
        </w:rPr>
        <w:t>ž</w:t>
      </w:r>
      <w:r w:rsidR="000B5A7C">
        <w:rPr>
          <w:rFonts w:cs="Arial"/>
          <w:b/>
          <w:caps/>
          <w:sz w:val="28"/>
        </w:rPr>
        <w:t> </w:t>
      </w:r>
      <w:r w:rsidR="008A38D3">
        <w:rPr>
          <w:rFonts w:cs="Arial"/>
          <w:b/>
          <w:caps/>
          <w:sz w:val="28"/>
        </w:rPr>
        <w:t>október</w:t>
      </w:r>
      <w:r w:rsidR="000B5A7C">
        <w:rPr>
          <w:rFonts w:cs="Arial"/>
          <w:b/>
          <w:caps/>
          <w:sz w:val="28"/>
        </w:rPr>
        <w:t xml:space="preserve"> 2011</w:t>
      </w:r>
      <w:r w:rsidRPr="00B1538A">
        <w:rPr>
          <w:rFonts w:cs="Arial"/>
          <w:b/>
          <w:caps/>
          <w:sz w:val="28"/>
        </w:rPr>
        <w:t xml:space="preserve"> </w:t>
      </w:r>
    </w:p>
    <w:p w:rsidR="00657CB2" w:rsidRDefault="00657CB2" w:rsidP="00657CB2">
      <w:pPr>
        <w:jc w:val="both"/>
      </w:pPr>
    </w:p>
    <w:p w:rsidR="00657CB2" w:rsidRDefault="00657CB2" w:rsidP="00657CB2">
      <w:pPr>
        <w:jc w:val="both"/>
      </w:pPr>
    </w:p>
    <w:p w:rsidR="00657CB2" w:rsidRDefault="00657CB2" w:rsidP="00657CB2">
      <w:pPr>
        <w:jc w:val="both"/>
        <w:rPr>
          <w:rFonts w:ascii="Arial" w:hAnsi="Arial" w:cs="Arial"/>
        </w:rPr>
      </w:pPr>
    </w:p>
    <w:p w:rsidR="00756CD5" w:rsidRPr="00657CB2" w:rsidRDefault="00756CD5" w:rsidP="00657CB2">
      <w:pPr>
        <w:jc w:val="both"/>
        <w:rPr>
          <w:rFonts w:ascii="Arial" w:hAnsi="Arial" w:cs="Arial"/>
        </w:rPr>
      </w:pPr>
      <w:bookmarkStart w:id="0" w:name="_GoBack"/>
      <w:bookmarkEnd w:id="0"/>
    </w:p>
    <w:p w:rsidR="00657CB2" w:rsidRPr="00657CB2" w:rsidRDefault="00657CB2" w:rsidP="00657CB2">
      <w:pPr>
        <w:tabs>
          <w:tab w:val="left" w:pos="4860"/>
        </w:tabs>
        <w:rPr>
          <w:rFonts w:ascii="Arial" w:hAnsi="Arial" w:cs="Arial"/>
          <w:b/>
        </w:rPr>
      </w:pPr>
      <w:r w:rsidRPr="00657CB2">
        <w:rPr>
          <w:rFonts w:ascii="Arial" w:hAnsi="Arial" w:cs="Arial"/>
          <w:b/>
        </w:rPr>
        <w:t>Dôvod predloženia:</w:t>
      </w:r>
      <w:r w:rsidRPr="00657CB2">
        <w:rPr>
          <w:rFonts w:ascii="Arial" w:hAnsi="Arial" w:cs="Arial"/>
          <w:b/>
        </w:rPr>
        <w:tab/>
        <w:t>Materiál obsahuje:</w:t>
      </w:r>
    </w:p>
    <w:p w:rsidR="00657CB2" w:rsidRPr="00657CB2" w:rsidRDefault="00657CB2" w:rsidP="00657CB2">
      <w:pPr>
        <w:tabs>
          <w:tab w:val="left" w:pos="5760"/>
        </w:tabs>
        <w:ind w:left="5760" w:hanging="5760"/>
        <w:rPr>
          <w:rFonts w:ascii="Arial" w:hAnsi="Arial" w:cs="Arial"/>
          <w:b/>
        </w:rPr>
      </w:pPr>
    </w:p>
    <w:p w:rsidR="00657CB2" w:rsidRPr="00657CB2" w:rsidRDefault="00657CB2" w:rsidP="00657CB2">
      <w:pPr>
        <w:tabs>
          <w:tab w:val="left" w:pos="4860"/>
          <w:tab w:val="left" w:pos="5220"/>
        </w:tabs>
        <w:rPr>
          <w:rFonts w:ascii="Arial" w:hAnsi="Arial" w:cs="Arial"/>
        </w:rPr>
      </w:pPr>
      <w:r w:rsidRPr="00657CB2">
        <w:rPr>
          <w:rFonts w:ascii="Arial" w:hAnsi="Arial" w:cs="Arial"/>
        </w:rPr>
        <w:t xml:space="preserve">realizácia vecného a časového plánu </w:t>
      </w:r>
      <w:r w:rsidRPr="00657CB2">
        <w:rPr>
          <w:rFonts w:ascii="Arial" w:hAnsi="Arial" w:cs="Arial"/>
        </w:rPr>
        <w:tab/>
        <w:t xml:space="preserve">1. </w:t>
      </w:r>
      <w:r w:rsidRPr="00657CB2">
        <w:rPr>
          <w:rFonts w:ascii="Arial" w:hAnsi="Arial" w:cs="Arial"/>
        </w:rPr>
        <w:tab/>
        <w:t>Návrh uznesenia Dozornej rady</w:t>
      </w:r>
    </w:p>
    <w:p w:rsidR="00657CB2" w:rsidRPr="00657CB2" w:rsidRDefault="00657CB2" w:rsidP="00657CB2">
      <w:pPr>
        <w:tabs>
          <w:tab w:val="left" w:pos="4860"/>
          <w:tab w:val="left" w:pos="5220"/>
        </w:tabs>
        <w:rPr>
          <w:rFonts w:ascii="Arial" w:hAnsi="Arial" w:cs="Arial"/>
        </w:rPr>
      </w:pPr>
      <w:r w:rsidRPr="00657CB2">
        <w:rPr>
          <w:rFonts w:ascii="Arial" w:hAnsi="Arial" w:cs="Arial"/>
        </w:rPr>
        <w:t>konania zasadnutí Dozornej rady</w:t>
      </w:r>
      <w:r w:rsidRPr="00657CB2">
        <w:rPr>
          <w:rFonts w:ascii="Arial" w:hAnsi="Arial" w:cs="Arial"/>
        </w:rPr>
        <w:tab/>
      </w:r>
      <w:r w:rsidRPr="00657CB2">
        <w:rPr>
          <w:rFonts w:ascii="Arial" w:hAnsi="Arial" w:cs="Arial"/>
        </w:rPr>
        <w:tab/>
        <w:t>Sociálnej poisťovne</w:t>
      </w:r>
    </w:p>
    <w:p w:rsidR="00657CB2" w:rsidRPr="00657CB2" w:rsidRDefault="00657CB2" w:rsidP="00657CB2">
      <w:pPr>
        <w:tabs>
          <w:tab w:val="left" w:pos="4860"/>
          <w:tab w:val="left" w:pos="5220"/>
        </w:tabs>
        <w:rPr>
          <w:rFonts w:ascii="Arial" w:hAnsi="Arial" w:cs="Arial"/>
        </w:rPr>
      </w:pPr>
      <w:r w:rsidRPr="00657CB2">
        <w:rPr>
          <w:rFonts w:ascii="Arial" w:hAnsi="Arial" w:cs="Arial"/>
        </w:rPr>
        <w:t>Sociálnej poisťovne v r</w:t>
      </w:r>
      <w:r w:rsidR="00AE3AF5">
        <w:rPr>
          <w:rFonts w:ascii="Arial" w:hAnsi="Arial" w:cs="Arial"/>
        </w:rPr>
        <w:t>oku 20</w:t>
      </w:r>
      <w:r w:rsidR="0053100D">
        <w:rPr>
          <w:rFonts w:ascii="Arial" w:hAnsi="Arial" w:cs="Arial"/>
        </w:rPr>
        <w:t>1</w:t>
      </w:r>
      <w:r w:rsidR="00CE4723">
        <w:rPr>
          <w:rFonts w:ascii="Arial" w:hAnsi="Arial" w:cs="Arial"/>
        </w:rPr>
        <w:t>1</w:t>
      </w:r>
      <w:r w:rsidRPr="00657CB2">
        <w:rPr>
          <w:rFonts w:ascii="Arial" w:hAnsi="Arial" w:cs="Arial"/>
        </w:rPr>
        <w:tab/>
      </w:r>
    </w:p>
    <w:p w:rsidR="00657CB2" w:rsidRPr="00657CB2" w:rsidRDefault="00657CB2" w:rsidP="00657CB2">
      <w:pPr>
        <w:tabs>
          <w:tab w:val="left" w:pos="4860"/>
          <w:tab w:val="left" w:pos="5220"/>
        </w:tabs>
        <w:rPr>
          <w:rFonts w:ascii="Arial" w:hAnsi="Arial" w:cs="Arial"/>
        </w:rPr>
      </w:pPr>
      <w:r w:rsidRPr="00657CB2">
        <w:rPr>
          <w:rFonts w:ascii="Arial" w:hAnsi="Arial" w:cs="Arial"/>
        </w:rPr>
        <w:tab/>
        <w:t xml:space="preserve">2. </w:t>
      </w:r>
      <w:r w:rsidRPr="00657CB2">
        <w:rPr>
          <w:rFonts w:ascii="Arial" w:hAnsi="Arial" w:cs="Arial"/>
        </w:rPr>
        <w:tab/>
        <w:t>Predkladaciu správu</w:t>
      </w:r>
    </w:p>
    <w:p w:rsidR="00657CB2" w:rsidRPr="00657CB2" w:rsidRDefault="00657CB2" w:rsidP="00657CB2">
      <w:pPr>
        <w:tabs>
          <w:tab w:val="left" w:pos="4860"/>
          <w:tab w:val="left" w:pos="5220"/>
        </w:tabs>
        <w:rPr>
          <w:rFonts w:ascii="Arial" w:hAnsi="Arial" w:cs="Arial"/>
        </w:rPr>
      </w:pPr>
      <w:r w:rsidRPr="00657CB2">
        <w:rPr>
          <w:rFonts w:ascii="Arial" w:hAnsi="Arial" w:cs="Arial"/>
        </w:rPr>
        <w:tab/>
      </w:r>
    </w:p>
    <w:p w:rsidR="00657CB2" w:rsidRPr="00657CB2" w:rsidRDefault="00657CB2" w:rsidP="00405326">
      <w:pPr>
        <w:numPr>
          <w:ilvl w:val="0"/>
          <w:numId w:val="1"/>
        </w:numPr>
        <w:tabs>
          <w:tab w:val="left" w:pos="4860"/>
        </w:tabs>
        <w:rPr>
          <w:rFonts w:ascii="Arial" w:hAnsi="Arial" w:cs="Arial"/>
        </w:rPr>
      </w:pPr>
      <w:r w:rsidRPr="00657CB2">
        <w:rPr>
          <w:rFonts w:ascii="Arial" w:hAnsi="Arial" w:cs="Arial"/>
        </w:rPr>
        <w:t>Správu o</w:t>
      </w:r>
      <w:r w:rsidR="00D10434">
        <w:rPr>
          <w:rFonts w:ascii="Arial" w:hAnsi="Arial" w:cs="Arial"/>
        </w:rPr>
        <w:t> </w:t>
      </w:r>
      <w:r w:rsidRPr="00657CB2">
        <w:rPr>
          <w:rFonts w:ascii="Arial" w:hAnsi="Arial" w:cs="Arial"/>
        </w:rPr>
        <w:t>hospodárení</w:t>
      </w:r>
      <w:r w:rsidR="00D10434">
        <w:rPr>
          <w:rFonts w:ascii="Arial" w:hAnsi="Arial" w:cs="Arial"/>
        </w:rPr>
        <w:t xml:space="preserve"> </w:t>
      </w:r>
      <w:r w:rsidRPr="00657CB2">
        <w:rPr>
          <w:rFonts w:ascii="Arial" w:hAnsi="Arial" w:cs="Arial"/>
        </w:rPr>
        <w:t>Sociálnej poisťovne</w:t>
      </w:r>
      <w:r w:rsidR="0053100D">
        <w:rPr>
          <w:rFonts w:ascii="Arial" w:hAnsi="Arial" w:cs="Arial"/>
        </w:rPr>
        <w:t xml:space="preserve"> </w:t>
      </w:r>
      <w:r w:rsidRPr="00657CB2">
        <w:rPr>
          <w:rFonts w:ascii="Arial" w:hAnsi="Arial" w:cs="Arial"/>
        </w:rPr>
        <w:t>v</w:t>
      </w:r>
      <w:r w:rsidR="000B5A7C">
        <w:rPr>
          <w:rFonts w:ascii="Arial" w:hAnsi="Arial" w:cs="Arial"/>
        </w:rPr>
        <w:t> mesiacoch január a</w:t>
      </w:r>
      <w:r w:rsidR="00D40A40">
        <w:rPr>
          <w:rFonts w:ascii="Arial" w:hAnsi="Arial" w:cs="Arial"/>
        </w:rPr>
        <w:t>ž</w:t>
      </w:r>
      <w:r w:rsidR="000B5A7C">
        <w:rPr>
          <w:rFonts w:ascii="Arial" w:hAnsi="Arial" w:cs="Arial"/>
        </w:rPr>
        <w:t> </w:t>
      </w:r>
      <w:r w:rsidR="008A38D3">
        <w:rPr>
          <w:rFonts w:ascii="Arial" w:hAnsi="Arial" w:cs="Arial"/>
        </w:rPr>
        <w:t>október</w:t>
      </w:r>
      <w:r w:rsidR="000B5A7C">
        <w:rPr>
          <w:rFonts w:ascii="Arial" w:hAnsi="Arial" w:cs="Arial"/>
        </w:rPr>
        <w:t xml:space="preserve"> 2011 </w:t>
      </w:r>
      <w:r w:rsidR="00392264">
        <w:rPr>
          <w:rFonts w:ascii="Arial" w:hAnsi="Arial" w:cs="Arial"/>
        </w:rPr>
        <w:t xml:space="preserve"> </w:t>
      </w:r>
      <w:r w:rsidRPr="00657CB2">
        <w:rPr>
          <w:rFonts w:ascii="Arial" w:hAnsi="Arial" w:cs="Arial"/>
        </w:rPr>
        <w:t xml:space="preserve"> </w:t>
      </w:r>
    </w:p>
    <w:p w:rsidR="00657CB2" w:rsidRPr="00657CB2" w:rsidRDefault="00657CB2" w:rsidP="00657CB2">
      <w:pPr>
        <w:tabs>
          <w:tab w:val="left" w:pos="4860"/>
          <w:tab w:val="left" w:pos="5220"/>
        </w:tabs>
        <w:rPr>
          <w:rFonts w:ascii="Arial" w:hAnsi="Arial" w:cs="Arial"/>
        </w:rPr>
      </w:pPr>
      <w:r w:rsidRPr="00657CB2">
        <w:rPr>
          <w:rFonts w:ascii="Arial" w:hAnsi="Arial" w:cs="Arial"/>
        </w:rPr>
        <w:tab/>
      </w:r>
    </w:p>
    <w:p w:rsidR="00657CB2" w:rsidRDefault="00657CB2" w:rsidP="00657CB2">
      <w:pPr>
        <w:rPr>
          <w:rFonts w:ascii="Arial" w:hAnsi="Arial" w:cs="Arial"/>
        </w:rPr>
      </w:pPr>
    </w:p>
    <w:p w:rsidR="00096632" w:rsidRDefault="00096632" w:rsidP="00657CB2">
      <w:pPr>
        <w:rPr>
          <w:rFonts w:ascii="Arial" w:hAnsi="Arial" w:cs="Arial"/>
        </w:rPr>
      </w:pPr>
    </w:p>
    <w:p w:rsidR="00096632" w:rsidRPr="00657CB2" w:rsidRDefault="00096632" w:rsidP="00657CB2">
      <w:pPr>
        <w:rPr>
          <w:rFonts w:ascii="Arial" w:hAnsi="Arial" w:cs="Arial"/>
        </w:rPr>
      </w:pPr>
    </w:p>
    <w:p w:rsidR="00657CB2" w:rsidRPr="00657CB2" w:rsidRDefault="00657CB2" w:rsidP="00657CB2">
      <w:pPr>
        <w:rPr>
          <w:rFonts w:ascii="Arial" w:hAnsi="Arial" w:cs="Arial"/>
        </w:rPr>
      </w:pPr>
    </w:p>
    <w:p w:rsidR="00657CB2" w:rsidRPr="00657CB2" w:rsidRDefault="00657CB2" w:rsidP="00657CB2">
      <w:pPr>
        <w:rPr>
          <w:rFonts w:ascii="Arial" w:hAnsi="Arial" w:cs="Arial"/>
        </w:rPr>
      </w:pPr>
    </w:p>
    <w:p w:rsidR="00657CB2" w:rsidRPr="00657CB2" w:rsidRDefault="00657CB2" w:rsidP="00657CB2">
      <w:pPr>
        <w:rPr>
          <w:rFonts w:ascii="Arial" w:hAnsi="Arial" w:cs="Arial"/>
          <w:b/>
        </w:rPr>
      </w:pPr>
      <w:r w:rsidRPr="00657CB2">
        <w:rPr>
          <w:rFonts w:ascii="Arial" w:hAnsi="Arial" w:cs="Arial"/>
          <w:b/>
        </w:rPr>
        <w:t>Materiál predkladá:</w:t>
      </w:r>
    </w:p>
    <w:p w:rsidR="00657CB2" w:rsidRPr="00657CB2" w:rsidRDefault="00657CB2" w:rsidP="00657CB2">
      <w:pPr>
        <w:rPr>
          <w:rFonts w:ascii="Arial" w:hAnsi="Arial" w:cs="Arial"/>
        </w:rPr>
      </w:pPr>
    </w:p>
    <w:p w:rsidR="00657CB2" w:rsidRPr="00657CB2" w:rsidRDefault="00657CB2" w:rsidP="00657CB2">
      <w:pPr>
        <w:rPr>
          <w:rFonts w:ascii="Arial" w:hAnsi="Arial" w:cs="Arial"/>
        </w:rPr>
      </w:pPr>
      <w:r w:rsidRPr="00657CB2">
        <w:rPr>
          <w:rFonts w:ascii="Arial" w:hAnsi="Arial" w:cs="Arial"/>
        </w:rPr>
        <w:t xml:space="preserve">Ing. </w:t>
      </w:r>
      <w:r w:rsidR="00435B59">
        <w:rPr>
          <w:rFonts w:ascii="Arial" w:hAnsi="Arial" w:cs="Arial"/>
        </w:rPr>
        <w:t>Ľuboš Lopatka, PhD.</w:t>
      </w:r>
    </w:p>
    <w:p w:rsidR="00657CB2" w:rsidRPr="00657CB2" w:rsidRDefault="00657CB2" w:rsidP="00657CB2">
      <w:pPr>
        <w:rPr>
          <w:rFonts w:ascii="Arial" w:hAnsi="Arial" w:cs="Arial"/>
        </w:rPr>
      </w:pPr>
      <w:r w:rsidRPr="00657CB2">
        <w:rPr>
          <w:rFonts w:ascii="Arial" w:hAnsi="Arial" w:cs="Arial"/>
        </w:rPr>
        <w:t>generálny riaditeľ Sociálnej poisťovne</w:t>
      </w:r>
    </w:p>
    <w:p w:rsidR="00657CB2" w:rsidRDefault="00657CB2" w:rsidP="00657CB2">
      <w:pPr>
        <w:pStyle w:val="Pta"/>
        <w:rPr>
          <w:rFonts w:ascii="Arial" w:hAnsi="Arial" w:cs="Arial"/>
        </w:rPr>
      </w:pPr>
    </w:p>
    <w:p w:rsidR="00657CB2" w:rsidRDefault="00657CB2" w:rsidP="00657CB2">
      <w:pPr>
        <w:pStyle w:val="Pta"/>
        <w:rPr>
          <w:rFonts w:ascii="Arial" w:hAnsi="Arial" w:cs="Arial"/>
        </w:rPr>
        <w:sectPr w:rsidR="00657CB2" w:rsidSect="00506E81">
          <w:headerReference w:type="default" r:id="rId9"/>
          <w:footerReference w:type="default" r:id="rId10"/>
          <w:pgSz w:w="11906" w:h="16838" w:code="9"/>
          <w:pgMar w:top="2835" w:right="1418" w:bottom="1418" w:left="1418" w:header="709" w:footer="709" w:gutter="0"/>
          <w:cols w:space="708"/>
          <w:docGrid w:linePitch="360"/>
        </w:sectPr>
      </w:pPr>
    </w:p>
    <w:p w:rsidR="00657CB2" w:rsidRPr="00657CB2" w:rsidRDefault="00657CB2" w:rsidP="00657CB2">
      <w:pPr>
        <w:pStyle w:val="Nadpis4"/>
        <w:spacing w:line="360" w:lineRule="auto"/>
        <w:jc w:val="center"/>
        <w:rPr>
          <w:rFonts w:cs="Arial"/>
          <w:b/>
          <w:szCs w:val="24"/>
        </w:rPr>
      </w:pPr>
      <w:r w:rsidRPr="00657CB2">
        <w:rPr>
          <w:rFonts w:cs="Arial"/>
          <w:b/>
          <w:szCs w:val="24"/>
        </w:rPr>
        <w:lastRenderedPageBreak/>
        <w:t xml:space="preserve">Návrh uznesenia </w:t>
      </w:r>
      <w:r w:rsidRPr="00657CB2">
        <w:rPr>
          <w:rFonts w:cs="Arial"/>
          <w:b/>
          <w:szCs w:val="24"/>
        </w:rPr>
        <w:br/>
        <w:t>Dozornej rady Sociálnej poisťovne</w:t>
      </w:r>
    </w:p>
    <w:p w:rsidR="00657CB2" w:rsidRDefault="00657CB2" w:rsidP="00657CB2">
      <w:pPr>
        <w:jc w:val="both"/>
      </w:pPr>
    </w:p>
    <w:p w:rsidR="00657CB2" w:rsidRDefault="00657CB2" w:rsidP="00657CB2">
      <w:pPr>
        <w:jc w:val="both"/>
      </w:pPr>
    </w:p>
    <w:p w:rsidR="00657CB2" w:rsidRDefault="00657CB2" w:rsidP="00657CB2">
      <w:pPr>
        <w:jc w:val="both"/>
      </w:pPr>
    </w:p>
    <w:p w:rsidR="00657CB2" w:rsidRPr="00C675A7" w:rsidRDefault="00657CB2" w:rsidP="00657CB2">
      <w:pPr>
        <w:pStyle w:val="Zkladntext2"/>
        <w:spacing w:after="0" w:line="240" w:lineRule="auto"/>
        <w:rPr>
          <w:b/>
        </w:rPr>
      </w:pPr>
      <w:r w:rsidRPr="00C675A7">
        <w:rPr>
          <w:b/>
        </w:rPr>
        <w:t>Dozorná rada Sociálnej poisťovne</w:t>
      </w:r>
    </w:p>
    <w:p w:rsidR="00657CB2" w:rsidRPr="00AF30AF" w:rsidRDefault="00657CB2" w:rsidP="00657CB2">
      <w:pPr>
        <w:pStyle w:val="Zkladntext2"/>
        <w:spacing w:after="0" w:line="240" w:lineRule="auto"/>
        <w:rPr>
          <w:rFonts w:cs="Arial"/>
          <w:szCs w:val="24"/>
        </w:rPr>
      </w:pPr>
    </w:p>
    <w:p w:rsidR="00657CB2" w:rsidRPr="00AF30AF" w:rsidRDefault="00657CB2" w:rsidP="00657CB2">
      <w:pPr>
        <w:pStyle w:val="Zkladntext2"/>
        <w:spacing w:after="0" w:line="240" w:lineRule="auto"/>
        <w:rPr>
          <w:rFonts w:cs="Arial"/>
          <w:szCs w:val="24"/>
        </w:rPr>
      </w:pPr>
    </w:p>
    <w:p w:rsidR="00657CB2" w:rsidRPr="00AF30AF" w:rsidRDefault="00657CB2" w:rsidP="00657CB2">
      <w:pPr>
        <w:pStyle w:val="Zkladntext2"/>
        <w:spacing w:after="0" w:line="240" w:lineRule="auto"/>
        <w:rPr>
          <w:rFonts w:cs="Arial"/>
          <w:szCs w:val="24"/>
        </w:rPr>
      </w:pPr>
    </w:p>
    <w:p w:rsidR="00415F50" w:rsidRPr="00415F50" w:rsidRDefault="00D10434" w:rsidP="00657CB2">
      <w:pPr>
        <w:pStyle w:val="Zkladntext3"/>
        <w:tabs>
          <w:tab w:val="left" w:pos="5103"/>
        </w:tabs>
        <w:spacing w:after="0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 xml:space="preserve">berie na vedomie </w:t>
      </w:r>
    </w:p>
    <w:p w:rsidR="00657CB2" w:rsidRPr="000B5A7C" w:rsidRDefault="00657CB2" w:rsidP="00657CB2">
      <w:pPr>
        <w:pStyle w:val="Zkladntext3"/>
        <w:tabs>
          <w:tab w:val="left" w:pos="5103"/>
        </w:tabs>
        <w:spacing w:after="0"/>
        <w:rPr>
          <w:rFonts w:cs="Arial"/>
          <w:sz w:val="24"/>
          <w:szCs w:val="24"/>
        </w:rPr>
      </w:pPr>
      <w:r w:rsidRPr="000B5A7C">
        <w:rPr>
          <w:rFonts w:cs="Arial"/>
          <w:sz w:val="24"/>
          <w:szCs w:val="24"/>
        </w:rPr>
        <w:t xml:space="preserve">správu o hospodárení Sociálnej poisťovne </w:t>
      </w:r>
      <w:r w:rsidR="000B5A7C" w:rsidRPr="000B5A7C">
        <w:rPr>
          <w:rFonts w:cs="Arial"/>
          <w:sz w:val="24"/>
          <w:szCs w:val="24"/>
        </w:rPr>
        <w:t>v mesiacoch január a</w:t>
      </w:r>
      <w:r w:rsidR="00D40A40">
        <w:rPr>
          <w:rFonts w:cs="Arial"/>
          <w:sz w:val="24"/>
          <w:szCs w:val="24"/>
        </w:rPr>
        <w:t>ž</w:t>
      </w:r>
      <w:r w:rsidR="000B5A7C" w:rsidRPr="000B5A7C">
        <w:rPr>
          <w:rFonts w:cs="Arial"/>
          <w:sz w:val="24"/>
          <w:szCs w:val="24"/>
        </w:rPr>
        <w:t> </w:t>
      </w:r>
      <w:r w:rsidR="008A38D3">
        <w:rPr>
          <w:rFonts w:cs="Arial"/>
          <w:sz w:val="24"/>
          <w:szCs w:val="24"/>
        </w:rPr>
        <w:t>október</w:t>
      </w:r>
      <w:r w:rsidR="000B5A7C" w:rsidRPr="000B5A7C">
        <w:rPr>
          <w:rFonts w:cs="Arial"/>
          <w:sz w:val="24"/>
          <w:szCs w:val="24"/>
        </w:rPr>
        <w:t xml:space="preserve"> 2011</w:t>
      </w:r>
      <w:r w:rsidR="005F5757">
        <w:rPr>
          <w:rFonts w:cs="Arial"/>
          <w:sz w:val="24"/>
          <w:szCs w:val="24"/>
        </w:rPr>
        <w:t>.</w:t>
      </w:r>
    </w:p>
    <w:p w:rsidR="00657CB2" w:rsidRPr="00D06742" w:rsidRDefault="00657CB2" w:rsidP="00657CB2">
      <w:pPr>
        <w:pStyle w:val="Zarkazkladnhotextu"/>
        <w:jc w:val="left"/>
        <w:rPr>
          <w:szCs w:val="24"/>
        </w:rPr>
      </w:pPr>
    </w:p>
    <w:p w:rsidR="005910A7" w:rsidRPr="005910A7" w:rsidRDefault="00657CB2" w:rsidP="005910A7">
      <w:pPr>
        <w:spacing w:before="240" w:after="120"/>
        <w:jc w:val="center"/>
        <w:rPr>
          <w:rFonts w:ascii="Arial" w:hAnsi="Arial" w:cs="Arial"/>
          <w:b/>
        </w:rPr>
      </w:pPr>
      <w:r>
        <w:br w:type="page"/>
      </w:r>
      <w:r w:rsidR="005910A7" w:rsidRPr="005910A7">
        <w:rPr>
          <w:rFonts w:ascii="Arial" w:hAnsi="Arial" w:cs="Arial"/>
          <w:b/>
        </w:rPr>
        <w:lastRenderedPageBreak/>
        <w:t>Predkladacia správa</w:t>
      </w:r>
    </w:p>
    <w:p w:rsidR="005910A7" w:rsidRPr="005910A7" w:rsidRDefault="005910A7" w:rsidP="005910A7">
      <w:pPr>
        <w:spacing w:before="240" w:after="120"/>
        <w:ind w:firstLine="720"/>
        <w:jc w:val="both"/>
        <w:rPr>
          <w:rFonts w:ascii="Arial" w:hAnsi="Arial" w:cs="Arial"/>
        </w:rPr>
      </w:pPr>
      <w:r w:rsidRPr="005910A7">
        <w:rPr>
          <w:rFonts w:ascii="Arial" w:hAnsi="Arial" w:cs="Arial"/>
        </w:rPr>
        <w:t>Správa o hospodárení Sociálnej poisťovne v mesiacoch január a</w:t>
      </w:r>
      <w:r w:rsidR="00D40A40">
        <w:rPr>
          <w:rFonts w:ascii="Arial" w:hAnsi="Arial" w:cs="Arial"/>
        </w:rPr>
        <w:t>ž</w:t>
      </w:r>
      <w:r w:rsidRPr="005910A7">
        <w:rPr>
          <w:rFonts w:ascii="Arial" w:hAnsi="Arial" w:cs="Arial"/>
        </w:rPr>
        <w:t> </w:t>
      </w:r>
      <w:r w:rsidR="008A38D3">
        <w:rPr>
          <w:rFonts w:ascii="Arial" w:hAnsi="Arial" w:cs="Arial"/>
        </w:rPr>
        <w:t>október</w:t>
      </w:r>
      <w:r w:rsidR="005A3601">
        <w:rPr>
          <w:rFonts w:ascii="Arial" w:hAnsi="Arial" w:cs="Arial"/>
        </w:rPr>
        <w:t xml:space="preserve"> 2011 sa predkladá na </w:t>
      </w:r>
      <w:r w:rsidR="008A38D3">
        <w:rPr>
          <w:rFonts w:ascii="Arial" w:hAnsi="Arial" w:cs="Arial"/>
        </w:rPr>
        <w:t>7</w:t>
      </w:r>
      <w:r w:rsidRPr="005910A7">
        <w:rPr>
          <w:rFonts w:ascii="Arial" w:hAnsi="Arial" w:cs="Arial"/>
        </w:rPr>
        <w:t xml:space="preserve">/11 zasadnutie Dozornej rady Sociálnej poisťovne, konané dňa </w:t>
      </w:r>
      <w:r w:rsidR="008A38D3">
        <w:rPr>
          <w:rFonts w:ascii="Arial" w:hAnsi="Arial" w:cs="Arial"/>
        </w:rPr>
        <w:t>6. decembra</w:t>
      </w:r>
      <w:r w:rsidRPr="005910A7">
        <w:rPr>
          <w:rFonts w:ascii="Arial" w:hAnsi="Arial" w:cs="Arial"/>
        </w:rPr>
        <w:t xml:space="preserve"> 2011, v nadväznosti na vecný a časový plán konania zasadnutí Dozornej rady Sociálnej poisťovne v roku 2011.</w:t>
      </w:r>
    </w:p>
    <w:p w:rsidR="00A02473" w:rsidRPr="00A02473" w:rsidRDefault="00A02473" w:rsidP="00A76E58">
      <w:pPr>
        <w:spacing w:before="240" w:after="120"/>
        <w:jc w:val="center"/>
        <w:rPr>
          <w:rFonts w:cs="Arial"/>
        </w:rPr>
      </w:pPr>
    </w:p>
    <w:p w:rsidR="005F5757" w:rsidRPr="005F5757" w:rsidRDefault="00485707" w:rsidP="005F5757">
      <w:pPr>
        <w:pStyle w:val="Zarkazkladnhotextu"/>
        <w:ind w:left="0"/>
        <w:jc w:val="center"/>
        <w:rPr>
          <w:rFonts w:cs="Arial"/>
          <w:b/>
          <w:sz w:val="28"/>
          <w:szCs w:val="28"/>
        </w:rPr>
      </w:pPr>
      <w:r w:rsidRPr="00A02473">
        <w:br w:type="page"/>
      </w:r>
    </w:p>
    <w:p w:rsidR="008A38D3" w:rsidRPr="008A38D3" w:rsidRDefault="008A38D3" w:rsidP="008A38D3">
      <w:pPr>
        <w:spacing w:after="120"/>
        <w:jc w:val="center"/>
        <w:rPr>
          <w:rFonts w:ascii="Arial" w:hAnsi="Arial"/>
          <w:b/>
          <w:sz w:val="28"/>
          <w:szCs w:val="28"/>
        </w:rPr>
      </w:pPr>
      <w:r w:rsidRPr="008A38D3">
        <w:rPr>
          <w:rFonts w:ascii="Arial" w:hAnsi="Arial"/>
          <w:b/>
          <w:sz w:val="28"/>
          <w:szCs w:val="28"/>
        </w:rPr>
        <w:lastRenderedPageBreak/>
        <w:t xml:space="preserve">Správa o hospodárení Sociálnej poisťovne v mesiacoch </w:t>
      </w:r>
      <w:r w:rsidRPr="008A38D3">
        <w:rPr>
          <w:rFonts w:ascii="Arial" w:hAnsi="Arial"/>
          <w:b/>
          <w:sz w:val="28"/>
          <w:szCs w:val="28"/>
        </w:rPr>
        <w:br/>
        <w:t>január až október 2011</w:t>
      </w:r>
    </w:p>
    <w:p w:rsidR="008A38D3" w:rsidRPr="008A38D3" w:rsidRDefault="008A38D3" w:rsidP="008A38D3">
      <w:pPr>
        <w:spacing w:before="240"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Návrh rozpočtu Sociálnej poisťovne na rok 2011 schválila Národná rada Slovenskej republiky (NR SR) uznesením č. 247 z 15. decembra 2010. Schválený rozpočet Sociálnej poisťovne na rok 2011 (ďalej len „schválený rozpočet“) je zostavený v podmienkach zákona č. 461/2003 Z. z. o sociálnom poistení v znení neskorších predpisov (ďalej len „zákon o sociálnom poistení“) účinných k termínu spracovávania materiálu, pričom v čase tvorby rozpočtu bola zohľadnená, navrhovaná novela zákona o sociálnom poistení s účinnosťou od 1. januára 2011.</w:t>
      </w:r>
    </w:p>
    <w:p w:rsidR="008A38D3" w:rsidRPr="008A38D3" w:rsidRDefault="008A38D3" w:rsidP="008A38D3">
      <w:pPr>
        <w:spacing w:before="240" w:after="120"/>
        <w:ind w:firstLine="709"/>
        <w:jc w:val="both"/>
        <w:rPr>
          <w:rFonts w:ascii="Arial" w:hAnsi="Arial" w:cs="Arial"/>
        </w:rPr>
      </w:pPr>
      <w:r w:rsidRPr="008A38D3">
        <w:rPr>
          <w:rFonts w:ascii="Arial" w:hAnsi="Arial" w:cs="Arial"/>
          <w:szCs w:val="20"/>
        </w:rPr>
        <w:t xml:space="preserve">Do príjmov základného fondu starobného poistenia bol zapracovaný transfer </w:t>
      </w:r>
      <w:r w:rsidRPr="008A38D3">
        <w:rPr>
          <w:rFonts w:ascii="Arial" w:hAnsi="Arial" w:cs="Arial"/>
        </w:rPr>
        <w:t>zo štátneho rozpočtu Slovenskej republiky</w:t>
      </w:r>
      <w:r w:rsidRPr="008A38D3">
        <w:rPr>
          <w:rFonts w:ascii="Arial" w:hAnsi="Arial" w:cs="Arial"/>
          <w:szCs w:val="20"/>
        </w:rPr>
        <w:t xml:space="preserve"> </w:t>
      </w:r>
      <w:r w:rsidRPr="008A38D3">
        <w:rPr>
          <w:rFonts w:ascii="Arial" w:hAnsi="Arial" w:cs="Arial"/>
        </w:rPr>
        <w:t xml:space="preserve">(ŠR SR) </w:t>
      </w:r>
      <w:r w:rsidRPr="008A38D3">
        <w:rPr>
          <w:rFonts w:ascii="Arial" w:hAnsi="Arial" w:cs="Arial"/>
          <w:szCs w:val="20"/>
        </w:rPr>
        <w:t>vo výške 1 608 733 tis. Eur,</w:t>
      </w:r>
      <w:r w:rsidRPr="008A38D3">
        <w:rPr>
          <w:rFonts w:ascii="Arial" w:hAnsi="Arial" w:cs="Arial"/>
        </w:rPr>
        <w:t xml:space="preserve"> </w:t>
      </w:r>
      <w:r w:rsidRPr="008A38D3">
        <w:rPr>
          <w:rFonts w:ascii="Arial" w:hAnsi="Arial" w:cs="Arial"/>
          <w:szCs w:val="20"/>
        </w:rPr>
        <w:t>na krytie deficitov vzniknutých v dôsledku  zavedenia II. piliera</w:t>
      </w:r>
      <w:r w:rsidRPr="008A38D3">
        <w:rPr>
          <w:rFonts w:ascii="Arial" w:hAnsi="Arial" w:cs="Arial"/>
        </w:rPr>
        <w:t xml:space="preserve"> a ako finančná výpomoc z dôvodu platobnej neschopnosti základného fondu starobného poistenia v zmysle   § 157 ods. 4 zákona o sociálnom poistení.</w:t>
      </w:r>
    </w:p>
    <w:p w:rsidR="008A38D3" w:rsidRPr="008A38D3" w:rsidRDefault="008A38D3" w:rsidP="008A38D3">
      <w:pPr>
        <w:spacing w:before="240" w:after="120"/>
        <w:ind w:firstLine="720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Dňa 2. decembra 2010 bol schválený zákon č. 543/2010 Z. z., ktorým sa mení a dopĺňa zákon č. 461/2003 Z. z. o sociálnom poistení v znení neskorších predpisov a o zmene a doplnení niektorých zákonov s účinnosťou od 1. 1. 2011. Vplyv tohto zákona na hospodárenie Sociálnej poisťovne, v porovnaní so schváleným rozpočtom, zhoršuje bilanciu v bežnom roku o 25 789 tis. Eur (zníženie príjmov o 9 976 tis. Eur a zvýšenie výdavkov o 15 813 tis. Eur).</w:t>
      </w:r>
    </w:p>
    <w:p w:rsidR="008A38D3" w:rsidRPr="008A38D3" w:rsidRDefault="008A38D3" w:rsidP="008A38D3">
      <w:pPr>
        <w:spacing w:before="240"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Dopad zmien medzi zapracovanou a schválenou novelou zákona o sociálnom poistení na hospodárenie Sociálnej poisťovne v roku 2011 sa premieta v súhrnnej bilancii Sociálnej poisťovne uvedenej v prílohe, v stĺpci 3 – upravený rozpočet na rok 2011 (ďalej len „upravený rozpočet“). </w:t>
      </w:r>
    </w:p>
    <w:p w:rsidR="008A38D3" w:rsidRPr="008A38D3" w:rsidRDefault="008A38D3" w:rsidP="008A38D3">
      <w:pPr>
        <w:spacing w:before="240"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Pri tvorbe správneho fondu v upravenom rozpočte sa vychádzalo zo zákona o sociálnom poistení, kde je ustanovená tvorba správneho fondu najviac vo výške 2,4 % z príjmov poistného, 0,5 % z príspevkov na starobné dôchodkové sporenie (SDS) a ďalších ustanovení uvedených v § 168 ods. 2 zákona o sociálnom poistení.</w:t>
      </w:r>
    </w:p>
    <w:p w:rsidR="008A38D3" w:rsidRPr="008A38D3" w:rsidRDefault="008A38D3" w:rsidP="008A38D3">
      <w:pPr>
        <w:widowControl w:val="0"/>
        <w:tabs>
          <w:tab w:val="left" w:pos="709"/>
        </w:tabs>
        <w:spacing w:before="240"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 xml:space="preserve">Skutočné príjmy Sociálnej poisťovne v mesiacoch január až október 2011 (bez prevodu z minulých rokov) dosiahli výšku 5 253 676 tis. Eur, čo je 82,85 %-né plnenie upraveného rozpočtu a 101,49 %-né plnenie časového rozpisu rozpočtu na január až október  2011 (ďalej len „časový rozpis“). V príjmoch je zahrnutých 1 340 611 tis. Eur zo ŠR SR, v tom v základnom fonde starobného poistenia 1 296 823 tis. Eur na krytie deficitu v dôsledku zavedenia II. piliera a v rezervnom fonde solidarity 43 788 tis. Eur v zmysle § 293bg ods. 3 zákona o sociálnom poistení, ktorým bola znížená sadzba poistného do rezervného fondu solidarity v období od </w:t>
      </w:r>
      <w:r w:rsidRPr="008A38D3">
        <w:rPr>
          <w:rFonts w:ascii="Arial" w:hAnsi="Arial"/>
          <w:szCs w:val="20"/>
        </w:rPr>
        <w:br/>
        <w:t>1. apríla 2009 do 31. decembra 2010 pre povinne dôchodkovo poistenú samostatne zárobkovo činnú osobu.</w:t>
      </w:r>
    </w:p>
    <w:p w:rsidR="008A38D3" w:rsidRPr="008A38D3" w:rsidRDefault="008A38D3" w:rsidP="008A38D3">
      <w:pPr>
        <w:widowControl w:val="0"/>
        <w:tabs>
          <w:tab w:val="left" w:pos="709"/>
        </w:tabs>
        <w:spacing w:before="240"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Zdroje Sociálnej poisťovne, vrátane prevodu prostriedkov z minulého roka (v súlade so schválenou účtovnou závierkou Sociálnej poisťovne za rok 2010 uznesením NR SR č. 526 zo 6. 7. 2011), v hodnotenom období predstavovali 5 689 343 tis. Eur.</w:t>
      </w:r>
    </w:p>
    <w:p w:rsidR="008A38D3" w:rsidRPr="008A38D3" w:rsidRDefault="008A38D3" w:rsidP="008A38D3">
      <w:pPr>
        <w:widowControl w:val="0"/>
        <w:tabs>
          <w:tab w:val="left" w:pos="709"/>
        </w:tabs>
        <w:spacing w:before="240"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lastRenderedPageBreak/>
        <w:t>Výdavky (náklady) Sociálnej poisťovne v mesiacoch január až október 2011 dosiahli výšku 5 097 959 tis. Eur, čo je 81,30 %-né plnenie upraveného rozpočtu a 97,65 %-né plnenie časového rozpisu.</w:t>
      </w:r>
    </w:p>
    <w:p w:rsidR="008A38D3" w:rsidRPr="008A38D3" w:rsidRDefault="008A38D3" w:rsidP="008A38D3">
      <w:pPr>
        <w:widowControl w:val="0"/>
        <w:tabs>
          <w:tab w:val="decimal" w:pos="8280"/>
        </w:tabs>
        <w:spacing w:before="240"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Z porovnania príjmov a výdavkov vyplýva bilančný rozdiel v bežnom roku v sume 155 717 tis. Eur. Hospodárenie Sociálnej poisťovne k 31. októbru 2011 (vrátane prevodu z minulých rokov) skončilo bilančným rozdielom 591 384 tis. Eur.</w:t>
      </w:r>
    </w:p>
    <w:p w:rsidR="008A38D3" w:rsidRPr="008A38D3" w:rsidRDefault="008A38D3" w:rsidP="008A38D3">
      <w:pPr>
        <w:spacing w:before="24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 xml:space="preserve">Vplyv zavedenia II. piliera na hospodárenie Sociálnej poisťovne sa prejavil v základných fondoch za hodnotené obdobie nasledovne: </w:t>
      </w:r>
    </w:p>
    <w:p w:rsidR="008A38D3" w:rsidRPr="008A38D3" w:rsidRDefault="008A38D3" w:rsidP="008A38D3">
      <w:pPr>
        <w:numPr>
          <w:ilvl w:val="0"/>
          <w:numId w:val="2"/>
        </w:numPr>
        <w:tabs>
          <w:tab w:val="num" w:pos="720"/>
        </w:tabs>
        <w:ind w:left="720" w:hanging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dôchodkovým správcovským spoločnostiam (DSS) boli postúpené príspevky na SDS vo výške 704 177 tis. Eur, vrátane penále zo správneho fondu,</w:t>
      </w:r>
    </w:p>
    <w:p w:rsidR="008A38D3" w:rsidRPr="008A38D3" w:rsidRDefault="008A38D3" w:rsidP="008A38D3">
      <w:pPr>
        <w:numPr>
          <w:ilvl w:val="0"/>
          <w:numId w:val="2"/>
        </w:numPr>
        <w:tabs>
          <w:tab w:val="num" w:pos="720"/>
        </w:tabs>
        <w:spacing w:after="120"/>
        <w:ind w:left="720" w:hanging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na vykrytie deficitu boli poskytnuté finančné prostriedky zo ŠR SR v sume 1 296 823 tis. Eur.</w:t>
      </w:r>
    </w:p>
    <w:p w:rsidR="008A38D3" w:rsidRPr="008A38D3" w:rsidRDefault="008A38D3" w:rsidP="008A38D3">
      <w:pPr>
        <w:spacing w:before="240" w:after="120"/>
        <w:ind w:firstLine="720"/>
        <w:jc w:val="both"/>
        <w:rPr>
          <w:rFonts w:ascii="Arial" w:hAnsi="Arial"/>
        </w:rPr>
      </w:pPr>
      <w:r w:rsidRPr="008A38D3">
        <w:rPr>
          <w:rFonts w:ascii="Arial" w:hAnsi="Arial"/>
          <w:szCs w:val="20"/>
        </w:rPr>
        <w:t>Základná bilancia zdrojov a potrieb Sociálnej poisťovne k 31. októbru 2011 je spracovaná v prílohách – ústredie Sociálnej poisťovne, pobočky Sociálnej poisťovne a zamestnanci Sociálnej poisťovne.</w:t>
      </w:r>
    </w:p>
    <w:p w:rsidR="008A38D3" w:rsidRPr="008A38D3" w:rsidRDefault="008A38D3" w:rsidP="008A38D3">
      <w:pPr>
        <w:tabs>
          <w:tab w:val="left" w:pos="720"/>
          <w:tab w:val="decimal" w:pos="8280"/>
        </w:tabs>
        <w:spacing w:before="240" w:after="120"/>
        <w:jc w:val="both"/>
        <w:rPr>
          <w:rFonts w:ascii="Arial" w:hAnsi="Arial" w:cs="Arial"/>
        </w:rPr>
      </w:pPr>
      <w:r w:rsidRPr="008A38D3">
        <w:rPr>
          <w:rFonts w:ascii="Arial" w:hAnsi="Arial" w:cs="Arial"/>
          <w:b/>
        </w:rPr>
        <w:t>1.</w:t>
      </w:r>
      <w:r w:rsidRPr="008A38D3">
        <w:rPr>
          <w:rFonts w:ascii="Arial" w:hAnsi="Arial" w:cs="Arial"/>
          <w:b/>
        </w:rPr>
        <w:tab/>
        <w:t>Príjmy Sociálnej poisťovne</w:t>
      </w:r>
      <w:r w:rsidRPr="008A38D3">
        <w:rPr>
          <w:rFonts w:ascii="Arial" w:hAnsi="Arial" w:cs="Arial"/>
        </w:rPr>
        <w:t xml:space="preserve">, t. j. finančné prostriedky z poistného, pokút a penále a ostatné príjmy, vrátane finančných prostriedkov zo ŠR SR, v mesiacoch január až október 2011 predstavovali </w:t>
      </w:r>
      <w:r w:rsidRPr="008A38D3">
        <w:rPr>
          <w:rFonts w:ascii="Arial" w:hAnsi="Arial" w:cs="Arial"/>
        </w:rPr>
        <w:tab/>
      </w:r>
      <w:r w:rsidRPr="008A38D3">
        <w:rPr>
          <w:rFonts w:ascii="Arial" w:hAnsi="Arial" w:cs="Arial"/>
          <w:b/>
        </w:rPr>
        <w:t>5 253 676 tis. Eur,</w:t>
      </w:r>
      <w:r w:rsidRPr="008A38D3">
        <w:rPr>
          <w:rFonts w:ascii="Arial" w:hAnsi="Arial" w:cs="Arial"/>
          <w:b/>
        </w:rPr>
        <w:br/>
      </w:r>
      <w:r w:rsidRPr="008A38D3">
        <w:rPr>
          <w:rFonts w:ascii="Arial" w:hAnsi="Arial" w:cs="Arial"/>
        </w:rPr>
        <w:t>čo je 79,32 %-né plnenie upraveného rozpočtu v sume</w:t>
      </w:r>
      <w:r w:rsidRPr="008A38D3">
        <w:rPr>
          <w:rFonts w:ascii="Arial" w:hAnsi="Arial" w:cs="Arial"/>
        </w:rPr>
        <w:tab/>
        <w:t>6 340 851 tis. Eur</w:t>
      </w:r>
      <w:r w:rsidRPr="008A38D3">
        <w:rPr>
          <w:rFonts w:ascii="Arial" w:hAnsi="Arial" w:cs="Arial"/>
        </w:rPr>
        <w:br/>
        <w:t>a 101,49 %-né plnenie časového rozpisu vo výške</w:t>
      </w:r>
      <w:r w:rsidRPr="008A38D3">
        <w:rPr>
          <w:rFonts w:ascii="Arial" w:hAnsi="Arial" w:cs="Arial"/>
        </w:rPr>
        <w:tab/>
        <w:t>5 176 605 tis. Eur.</w:t>
      </w:r>
    </w:p>
    <w:p w:rsidR="008A38D3" w:rsidRPr="008A38D3" w:rsidRDefault="008A38D3" w:rsidP="008A38D3">
      <w:pPr>
        <w:tabs>
          <w:tab w:val="left" w:pos="4680"/>
          <w:tab w:val="decimal" w:pos="8080"/>
        </w:tabs>
        <w:spacing w:before="240" w:after="120"/>
        <w:ind w:firstLine="72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>Štruktúra skutočných príjmov Sociálnej poisťovne a ich porovnanie s časovým rozpisom je takáto:</w:t>
      </w:r>
    </w:p>
    <w:tbl>
      <w:tblPr>
        <w:tblW w:w="9073" w:type="dxa"/>
        <w:tblInd w:w="-7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95"/>
        <w:gridCol w:w="1125"/>
        <w:gridCol w:w="1285"/>
        <w:gridCol w:w="1134"/>
        <w:gridCol w:w="1134"/>
      </w:tblGrid>
      <w:tr w:rsidR="008A38D3" w:rsidRPr="008A38D3" w:rsidTr="00752E8B">
        <w:trPr>
          <w:trHeight w:val="255"/>
        </w:trPr>
        <w:tc>
          <w:tcPr>
            <w:tcW w:w="4395" w:type="dxa"/>
            <w:tcBorders>
              <w:top w:val="nil"/>
              <w:bottom w:val="nil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125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285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134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134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v tis. Eur</w:t>
            </w:r>
          </w:p>
        </w:tc>
      </w:tr>
      <w:tr w:rsidR="008A38D3" w:rsidRPr="008A38D3" w:rsidTr="00752E8B">
        <w:trPr>
          <w:trHeight w:val="240"/>
        </w:trPr>
        <w:tc>
          <w:tcPr>
            <w:tcW w:w="439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Príjmy od EAO </w:t>
            </w:r>
          </w:p>
        </w:tc>
        <w:tc>
          <w:tcPr>
            <w:tcW w:w="112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Časový rozpis</w:t>
            </w:r>
          </w:p>
        </w:tc>
        <w:tc>
          <w:tcPr>
            <w:tcW w:w="1285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Skutočnosť</w:t>
            </w:r>
          </w:p>
        </w:tc>
        <w:tc>
          <w:tcPr>
            <w:tcW w:w="1134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Rozdiel </w:t>
            </w:r>
            <w:r w:rsidRPr="008A38D3">
              <w:rPr>
                <w:rFonts w:ascii="Arial" w:hAnsi="Arial" w:cs="Arial"/>
                <w:sz w:val="18"/>
                <w:szCs w:val="18"/>
              </w:rPr>
              <w:br/>
              <w:t>(2-1)</w:t>
            </w:r>
          </w:p>
        </w:tc>
        <w:tc>
          <w:tcPr>
            <w:tcW w:w="1134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% plnenia (2/1)</w:t>
            </w:r>
          </w:p>
        </w:tc>
      </w:tr>
      <w:tr w:rsidR="008A38D3" w:rsidRPr="008A38D3" w:rsidTr="00752E8B">
        <w:trPr>
          <w:trHeight w:val="450"/>
        </w:trPr>
        <w:tc>
          <w:tcPr>
            <w:tcW w:w="439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2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85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A38D3" w:rsidRPr="008A38D3" w:rsidTr="00752E8B">
        <w:trPr>
          <w:trHeight w:val="255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a</w:t>
            </w:r>
          </w:p>
        </w:tc>
        <w:tc>
          <w:tcPr>
            <w:tcW w:w="11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</w:t>
            </w:r>
          </w:p>
        </w:tc>
      </w:tr>
      <w:tr w:rsidR="008A38D3" w:rsidRPr="008A38D3" w:rsidTr="00752E8B">
        <w:trPr>
          <w:trHeight w:val="255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celkom</w:t>
            </w:r>
          </w:p>
        </w:tc>
        <w:tc>
          <w:tcPr>
            <w:tcW w:w="11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5 176 605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5 253 676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77 071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101,49</w:t>
            </w:r>
          </w:p>
        </w:tc>
      </w:tr>
      <w:tr w:rsidR="008A38D3" w:rsidRPr="008A38D3" w:rsidTr="00752E8B">
        <w:trPr>
          <w:trHeight w:val="255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v tom:</w:t>
            </w:r>
          </w:p>
        </w:tc>
        <w:tc>
          <w:tcPr>
            <w:tcW w:w="11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8A38D3" w:rsidRPr="008A38D3" w:rsidTr="00752E8B">
        <w:trPr>
          <w:trHeight w:val="480"/>
        </w:trPr>
        <w:tc>
          <w:tcPr>
            <w:tcW w:w="439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z bežného poistného od ekonomicky aktívneho obyvateľstva (EAO)</w:t>
            </w:r>
          </w:p>
        </w:tc>
        <w:tc>
          <w:tcPr>
            <w:tcW w:w="112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3 532 870</w:t>
            </w:r>
          </w:p>
        </w:tc>
        <w:tc>
          <w:tcPr>
            <w:tcW w:w="128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3 456 618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-76 252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97,84</w:t>
            </w:r>
          </w:p>
        </w:tc>
      </w:tr>
      <w:tr w:rsidR="008A38D3" w:rsidRPr="008A38D3" w:rsidTr="00752E8B">
        <w:trPr>
          <w:trHeight w:val="240"/>
        </w:trPr>
        <w:tc>
          <w:tcPr>
            <w:tcW w:w="439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príjmy z dlžného poistného  </w:t>
            </w:r>
          </w:p>
        </w:tc>
        <w:tc>
          <w:tcPr>
            <w:tcW w:w="112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136 203</w:t>
            </w:r>
          </w:p>
        </w:tc>
        <w:tc>
          <w:tcPr>
            <w:tcW w:w="128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266 740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130 537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195,84</w:t>
            </w:r>
          </w:p>
        </w:tc>
      </w:tr>
      <w:tr w:rsidR="008A38D3" w:rsidRPr="008A38D3" w:rsidTr="00752E8B">
        <w:trPr>
          <w:trHeight w:val="240"/>
        </w:trPr>
        <w:tc>
          <w:tcPr>
            <w:tcW w:w="439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zo sankcií</w:t>
            </w:r>
          </w:p>
        </w:tc>
        <w:tc>
          <w:tcPr>
            <w:tcW w:w="112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2 027</w:t>
            </w:r>
          </w:p>
        </w:tc>
        <w:tc>
          <w:tcPr>
            <w:tcW w:w="128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4 648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2 621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229,30</w:t>
            </w:r>
          </w:p>
        </w:tc>
      </w:tr>
      <w:tr w:rsidR="008A38D3" w:rsidRPr="008A38D3" w:rsidTr="00752E8B">
        <w:trPr>
          <w:trHeight w:val="240"/>
        </w:trPr>
        <w:tc>
          <w:tcPr>
            <w:tcW w:w="439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z poistného od štátu vrátane 0,5 % z príspevkov na SDS</w:t>
            </w:r>
          </w:p>
        </w:tc>
        <w:tc>
          <w:tcPr>
            <w:tcW w:w="112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135 628</w:t>
            </w:r>
          </w:p>
        </w:tc>
        <w:tc>
          <w:tcPr>
            <w:tcW w:w="128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147 932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12 304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109,07</w:t>
            </w:r>
          </w:p>
        </w:tc>
      </w:tr>
      <w:tr w:rsidR="008A38D3" w:rsidRPr="008A38D3" w:rsidTr="00752E8B">
        <w:trPr>
          <w:trHeight w:val="255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od Sociálnej poisťovne</w:t>
            </w:r>
          </w:p>
        </w:tc>
        <w:tc>
          <w:tcPr>
            <w:tcW w:w="11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1 572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1 625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103,37</w:t>
            </w:r>
          </w:p>
        </w:tc>
      </w:tr>
      <w:tr w:rsidR="008A38D3" w:rsidRPr="008A38D3" w:rsidTr="00752E8B">
        <w:trPr>
          <w:trHeight w:val="255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ostatné príjmy </w:t>
            </w:r>
          </w:p>
        </w:tc>
        <w:tc>
          <w:tcPr>
            <w:tcW w:w="11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1 349 314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1 352 957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3 643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100,27</w:t>
            </w:r>
          </w:p>
        </w:tc>
      </w:tr>
      <w:tr w:rsidR="008A38D3" w:rsidRPr="008A38D3" w:rsidTr="00752E8B">
        <w:trPr>
          <w:trHeight w:val="255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 toho príjmy zo ŠR SR</w:t>
            </w:r>
          </w:p>
        </w:tc>
        <w:tc>
          <w:tcPr>
            <w:tcW w:w="11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1 340 600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1 340 611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100,00</w:t>
            </w:r>
          </w:p>
        </w:tc>
      </w:tr>
      <w:tr w:rsidR="008A38D3" w:rsidRPr="008A38D3" w:rsidTr="00752E8B">
        <w:trPr>
          <w:trHeight w:val="495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príspevky na SDS zaplatené zamestnávateľom po uplynutí 60 dní</w:t>
            </w:r>
          </w:p>
        </w:tc>
        <w:tc>
          <w:tcPr>
            <w:tcW w:w="11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15 845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19 886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4 041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125,50</w:t>
            </w:r>
          </w:p>
        </w:tc>
      </w:tr>
      <w:tr w:rsidR="008A38D3" w:rsidRPr="008A38D3" w:rsidTr="00752E8B">
        <w:trPr>
          <w:trHeight w:val="255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správneho fondu z príspevkov na SDS (EAO)</w:t>
            </w:r>
          </w:p>
        </w:tc>
        <w:tc>
          <w:tcPr>
            <w:tcW w:w="11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3 146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3 270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103,94</w:t>
            </w:r>
          </w:p>
        </w:tc>
      </w:tr>
    </w:tbl>
    <w:p w:rsidR="008A38D3" w:rsidRPr="008A38D3" w:rsidRDefault="008A38D3" w:rsidP="008A38D3">
      <w:pPr>
        <w:tabs>
          <w:tab w:val="decimal" w:pos="8280"/>
          <w:tab w:val="right" w:pos="8820"/>
          <w:tab w:val="right" w:pos="9000"/>
        </w:tabs>
        <w:spacing w:before="240" w:after="120"/>
        <w:ind w:firstLine="709"/>
        <w:jc w:val="both"/>
        <w:rPr>
          <w:rFonts w:ascii="Arial" w:hAnsi="Arial" w:cs="Arial"/>
          <w:bCs/>
        </w:rPr>
      </w:pPr>
      <w:r w:rsidRPr="008A38D3">
        <w:rPr>
          <w:rFonts w:ascii="Arial" w:hAnsi="Arial" w:cs="Arial"/>
          <w:b/>
          <w:bCs/>
        </w:rPr>
        <w:t xml:space="preserve">V absolútnom vyjadrení je plnenie príjmov celkom oproti časovému rozpisu vyššie o 77 071 tis. Eur. </w:t>
      </w:r>
      <w:r w:rsidRPr="008A38D3">
        <w:rPr>
          <w:rFonts w:ascii="Arial" w:hAnsi="Arial" w:cs="Arial"/>
        </w:rPr>
        <w:t>Na túto skutočnosť malo v</w:t>
      </w:r>
      <w:r w:rsidRPr="008A38D3">
        <w:rPr>
          <w:rFonts w:ascii="Arial" w:hAnsi="Arial" w:cs="Arial"/>
          <w:b/>
          <w:bCs/>
        </w:rPr>
        <w:t xml:space="preserve"> </w:t>
      </w:r>
      <w:r w:rsidRPr="008A38D3">
        <w:rPr>
          <w:rFonts w:ascii="Arial" w:hAnsi="Arial" w:cs="Arial"/>
        </w:rPr>
        <w:t> rozhodujúcej miere vplyv plnenie</w:t>
      </w:r>
      <w:r w:rsidRPr="008A38D3">
        <w:rPr>
          <w:rFonts w:ascii="Arial" w:hAnsi="Arial" w:cs="Arial"/>
          <w:b/>
          <w:bCs/>
        </w:rPr>
        <w:t xml:space="preserve"> </w:t>
      </w:r>
      <w:r w:rsidRPr="008A38D3">
        <w:rPr>
          <w:rFonts w:ascii="Arial" w:hAnsi="Arial" w:cs="Arial"/>
        </w:rPr>
        <w:t>príjmov z </w:t>
      </w:r>
      <w:r w:rsidRPr="008A38D3">
        <w:rPr>
          <w:rFonts w:ascii="Arial" w:hAnsi="Arial" w:cs="Arial"/>
          <w:b/>
          <w:bCs/>
        </w:rPr>
        <w:t>dlžného poistného</w:t>
      </w:r>
      <w:r w:rsidRPr="008A38D3">
        <w:rPr>
          <w:rFonts w:ascii="Arial" w:hAnsi="Arial" w:cs="Arial"/>
        </w:rPr>
        <w:t xml:space="preserve">, keď v porovnaní s časovým rozpisom sú tieto </w:t>
      </w:r>
      <w:r w:rsidRPr="008A38D3">
        <w:rPr>
          <w:rFonts w:ascii="Arial" w:hAnsi="Arial" w:cs="Arial"/>
          <w:b/>
          <w:bCs/>
        </w:rPr>
        <w:t xml:space="preserve">vyššie o 130 537 tis. Eur. </w:t>
      </w:r>
      <w:r w:rsidRPr="008A38D3">
        <w:rPr>
          <w:rFonts w:ascii="Arial" w:hAnsi="Arial" w:cs="Arial"/>
          <w:bCs/>
        </w:rPr>
        <w:t xml:space="preserve">Rozhodujúci význam pre plnenie príjmov z dlžného poistného malo v mesiaci október 2011 </w:t>
      </w:r>
      <w:r w:rsidRPr="008A38D3">
        <w:rPr>
          <w:rFonts w:ascii="Arial" w:hAnsi="Arial" w:cs="Arial"/>
          <w:b/>
          <w:bCs/>
        </w:rPr>
        <w:t xml:space="preserve">oddlženie zdravotníckych </w:t>
      </w:r>
      <w:r w:rsidRPr="008A38D3">
        <w:rPr>
          <w:rFonts w:ascii="Arial" w:hAnsi="Arial" w:cs="Arial"/>
          <w:b/>
          <w:bCs/>
        </w:rPr>
        <w:lastRenderedPageBreak/>
        <w:t>zariadení v sume 59 068 tis. Eur</w:t>
      </w:r>
      <w:r w:rsidRPr="008A38D3">
        <w:rPr>
          <w:rFonts w:ascii="Arial" w:hAnsi="Arial" w:cs="Arial"/>
          <w:bCs/>
        </w:rPr>
        <w:t>, čo v členení na pobočky Sociálnej poisťovne dokumentuje nasledujúca tabuľka:</w:t>
      </w:r>
    </w:p>
    <w:tbl>
      <w:tblPr>
        <w:tblW w:w="4700" w:type="dxa"/>
        <w:tblInd w:w="89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20"/>
        <w:gridCol w:w="1440"/>
        <w:gridCol w:w="1540"/>
      </w:tblGrid>
      <w:tr w:rsidR="008A38D3" w:rsidRPr="008A38D3" w:rsidTr="00752E8B">
        <w:trPr>
          <w:trHeight w:val="255"/>
        </w:trPr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v tis. Eur</w:t>
            </w:r>
          </w:p>
        </w:tc>
      </w:tr>
      <w:tr w:rsidR="008A38D3" w:rsidRPr="008A38D3" w:rsidTr="00752E8B">
        <w:trPr>
          <w:trHeight w:val="765"/>
        </w:trPr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Pobočka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A38D3">
              <w:rPr>
                <w:rFonts w:ascii="Arial" w:hAnsi="Arial" w:cs="Arial"/>
                <w:b/>
                <w:bCs/>
                <w:sz w:val="20"/>
                <w:szCs w:val="20"/>
              </w:rPr>
              <w:t>Pohľadávka  poistné k 6.10.2011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A38D3">
              <w:rPr>
                <w:rFonts w:ascii="Arial" w:hAnsi="Arial" w:cs="Arial"/>
                <w:b/>
                <w:bCs/>
                <w:sz w:val="20"/>
                <w:szCs w:val="20"/>
              </w:rPr>
              <w:t>zaplatené poistné</w:t>
            </w:r>
          </w:p>
        </w:tc>
      </w:tr>
      <w:tr w:rsidR="008A38D3" w:rsidRPr="008A38D3" w:rsidTr="00752E8B">
        <w:trPr>
          <w:trHeight w:val="255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Bratislava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37 568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37 568</w:t>
            </w:r>
          </w:p>
        </w:tc>
      </w:tr>
      <w:tr w:rsidR="008A38D3" w:rsidRPr="008A38D3" w:rsidTr="00752E8B">
        <w:trPr>
          <w:trHeight w:val="255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Trnava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2 674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2 674</w:t>
            </w:r>
          </w:p>
        </w:tc>
      </w:tr>
      <w:tr w:rsidR="008A38D3" w:rsidRPr="008A38D3" w:rsidTr="00752E8B">
        <w:trPr>
          <w:trHeight w:val="255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Trenčín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2 756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2 756</w:t>
            </w:r>
          </w:p>
        </w:tc>
      </w:tr>
      <w:tr w:rsidR="008A38D3" w:rsidRPr="008A38D3" w:rsidTr="00752E8B">
        <w:trPr>
          <w:trHeight w:val="255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Žilina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1 440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1 440</w:t>
            </w:r>
          </w:p>
        </w:tc>
      </w:tr>
      <w:tr w:rsidR="008A38D3" w:rsidRPr="008A38D3" w:rsidTr="00752E8B">
        <w:trPr>
          <w:trHeight w:val="255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Liptovský Mikuláš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855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855</w:t>
            </w:r>
          </w:p>
        </w:tc>
      </w:tr>
      <w:tr w:rsidR="008A38D3" w:rsidRPr="008A38D3" w:rsidTr="00752E8B">
        <w:trPr>
          <w:trHeight w:val="255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Martin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411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411</w:t>
            </w:r>
          </w:p>
        </w:tc>
      </w:tr>
      <w:tr w:rsidR="008A38D3" w:rsidRPr="008A38D3" w:rsidTr="00752E8B">
        <w:trPr>
          <w:trHeight w:val="255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Banská Bystrica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4 890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4 890</w:t>
            </w:r>
          </w:p>
        </w:tc>
      </w:tr>
      <w:tr w:rsidR="008A38D3" w:rsidRPr="008A38D3" w:rsidTr="00752E8B">
        <w:trPr>
          <w:trHeight w:val="255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Žiar nad Hronom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9</w:t>
            </w:r>
          </w:p>
        </w:tc>
      </w:tr>
      <w:tr w:rsidR="008A38D3" w:rsidRPr="008A38D3" w:rsidTr="00752E8B">
        <w:trPr>
          <w:trHeight w:val="255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Prešov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878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878</w:t>
            </w:r>
          </w:p>
        </w:tc>
      </w:tr>
      <w:tr w:rsidR="008A38D3" w:rsidRPr="008A38D3" w:rsidTr="00752E8B">
        <w:trPr>
          <w:trHeight w:val="255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Košice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7 586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7 586</w:t>
            </w:r>
          </w:p>
        </w:tc>
      </w:tr>
      <w:tr w:rsidR="008A38D3" w:rsidRPr="008A38D3" w:rsidTr="00752E8B">
        <w:trPr>
          <w:trHeight w:val="255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Spolu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59 068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59 068</w:t>
            </w:r>
          </w:p>
        </w:tc>
      </w:tr>
    </w:tbl>
    <w:p w:rsidR="008A38D3" w:rsidRPr="008A38D3" w:rsidRDefault="008A38D3" w:rsidP="008A38D3">
      <w:pPr>
        <w:tabs>
          <w:tab w:val="decimal" w:pos="8280"/>
          <w:tab w:val="right" w:pos="8820"/>
          <w:tab w:val="right" w:pos="9000"/>
        </w:tabs>
        <w:spacing w:before="240" w:after="120"/>
        <w:ind w:firstLine="709"/>
        <w:jc w:val="both"/>
        <w:rPr>
          <w:rFonts w:ascii="Arial" w:hAnsi="Arial" w:cs="Arial"/>
        </w:rPr>
      </w:pPr>
      <w:r w:rsidRPr="008A38D3">
        <w:rPr>
          <w:rFonts w:ascii="Arial" w:hAnsi="Arial" w:cs="Arial"/>
          <w:szCs w:val="20"/>
        </w:rPr>
        <w:t xml:space="preserve">Plnenie príjmov od </w:t>
      </w:r>
      <w:r w:rsidRPr="008A38D3">
        <w:rPr>
          <w:rFonts w:ascii="Arial" w:hAnsi="Arial" w:cs="Arial"/>
          <w:b/>
          <w:szCs w:val="20"/>
        </w:rPr>
        <w:t>EAO z bežného poistného</w:t>
      </w:r>
      <w:r w:rsidRPr="008A38D3">
        <w:rPr>
          <w:rFonts w:ascii="Arial" w:hAnsi="Arial" w:cs="Arial"/>
          <w:szCs w:val="20"/>
        </w:rPr>
        <w:t xml:space="preserve"> je, </w:t>
      </w:r>
      <w:r w:rsidRPr="008A38D3">
        <w:rPr>
          <w:rFonts w:ascii="Arial" w:hAnsi="Arial" w:cs="Arial"/>
        </w:rPr>
        <w:t>v porovnaní s časovým rozpisom,</w:t>
      </w:r>
      <w:r w:rsidRPr="008A38D3">
        <w:rPr>
          <w:rFonts w:ascii="Arial" w:hAnsi="Arial" w:cs="Arial"/>
          <w:szCs w:val="20"/>
        </w:rPr>
        <w:t xml:space="preserve"> nižšie </w:t>
      </w:r>
      <w:r w:rsidRPr="008A38D3">
        <w:rPr>
          <w:rFonts w:ascii="Arial" w:hAnsi="Arial" w:cs="Arial"/>
          <w:b/>
          <w:szCs w:val="20"/>
        </w:rPr>
        <w:t>o 76 252 tis. Eur.</w:t>
      </w:r>
    </w:p>
    <w:p w:rsidR="008A38D3" w:rsidRPr="008A38D3" w:rsidRDefault="008A38D3" w:rsidP="008A38D3">
      <w:pPr>
        <w:tabs>
          <w:tab w:val="decimal" w:pos="8280"/>
          <w:tab w:val="right" w:pos="8820"/>
          <w:tab w:val="right" w:pos="9000"/>
        </w:tabs>
        <w:spacing w:before="240"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Podľa jednotlivých druhov poistenia boli príjmy z bežného poistného od EAO v mesiacoch január až október 2011 nasledovné:</w:t>
      </w:r>
    </w:p>
    <w:tbl>
      <w:tblPr>
        <w:tblW w:w="8647" w:type="dxa"/>
        <w:tblInd w:w="2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27"/>
        <w:gridCol w:w="1276"/>
        <w:gridCol w:w="1276"/>
        <w:gridCol w:w="1134"/>
        <w:gridCol w:w="1134"/>
      </w:tblGrid>
      <w:tr w:rsidR="008A38D3" w:rsidRPr="008A38D3" w:rsidTr="00752E8B">
        <w:trPr>
          <w:trHeight w:val="270"/>
        </w:trPr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v tis. Eur</w:t>
            </w:r>
          </w:p>
        </w:tc>
      </w:tr>
      <w:tr w:rsidR="008A38D3" w:rsidRPr="008A38D3" w:rsidTr="00752E8B">
        <w:trPr>
          <w:trHeight w:val="450"/>
        </w:trPr>
        <w:tc>
          <w:tcPr>
            <w:tcW w:w="382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z bežného poistného od EAO</w:t>
            </w:r>
          </w:p>
        </w:tc>
        <w:tc>
          <w:tcPr>
            <w:tcW w:w="127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Rozpočet </w:t>
            </w:r>
          </w:p>
        </w:tc>
        <w:tc>
          <w:tcPr>
            <w:tcW w:w="127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Skutočnosť 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Rozdiel  </w:t>
            </w:r>
          </w:p>
        </w:tc>
        <w:tc>
          <w:tcPr>
            <w:tcW w:w="113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% plnenia rozpočtu (2/1)</w:t>
            </w:r>
          </w:p>
        </w:tc>
      </w:tr>
      <w:tr w:rsidR="008A38D3" w:rsidRPr="008A38D3" w:rsidTr="00752E8B">
        <w:trPr>
          <w:trHeight w:val="270"/>
        </w:trPr>
        <w:tc>
          <w:tcPr>
            <w:tcW w:w="382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(2-1)</w:t>
            </w:r>
          </w:p>
        </w:tc>
        <w:tc>
          <w:tcPr>
            <w:tcW w:w="113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A38D3" w:rsidRPr="008A38D3" w:rsidTr="00752E8B">
        <w:trPr>
          <w:trHeight w:val="270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</w:t>
            </w:r>
          </w:p>
        </w:tc>
      </w:tr>
      <w:tr w:rsidR="008A38D3" w:rsidRPr="008A38D3" w:rsidTr="00752E8B">
        <w:trPr>
          <w:trHeight w:val="270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Základný fond nemocenského poistenia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329 789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320 128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-9 661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97,07</w:t>
            </w:r>
          </w:p>
        </w:tc>
      </w:tr>
      <w:tr w:rsidR="008A38D3" w:rsidRPr="008A38D3" w:rsidTr="00752E8B">
        <w:trPr>
          <w:trHeight w:val="270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Základný fond starobného poistenia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1 603 087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1 522 056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-81 031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94,95</w:t>
            </w:r>
          </w:p>
        </w:tc>
      </w:tr>
      <w:tr w:rsidR="008A38D3" w:rsidRPr="008A38D3" w:rsidTr="00752E8B">
        <w:trPr>
          <w:trHeight w:val="270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Základný fond invalidného poistenia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694 664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698 569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3 905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100,56</w:t>
            </w:r>
          </w:p>
        </w:tc>
      </w:tr>
      <w:tr w:rsidR="008A38D3" w:rsidRPr="008A38D3" w:rsidTr="00752E8B">
        <w:trPr>
          <w:trHeight w:val="270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Základný fond úrazového poistenia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100 549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100 552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100,00</w:t>
            </w:r>
          </w:p>
        </w:tc>
      </w:tr>
      <w:tr w:rsidR="008A38D3" w:rsidRPr="008A38D3" w:rsidTr="00752E8B">
        <w:trPr>
          <w:trHeight w:val="270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Základný fond garančného poistenia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22 792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22 797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100,02</w:t>
            </w:r>
          </w:p>
        </w:tc>
      </w:tr>
      <w:tr w:rsidR="008A38D3" w:rsidRPr="008A38D3" w:rsidTr="00752E8B">
        <w:trPr>
          <w:trHeight w:val="270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Základný fond poistenia v nezamestnanosti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192 769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219 700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26 931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113,97</w:t>
            </w:r>
          </w:p>
        </w:tc>
      </w:tr>
      <w:tr w:rsidR="008A38D3" w:rsidRPr="008A38D3" w:rsidTr="00752E8B">
        <w:trPr>
          <w:trHeight w:val="270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Rezervný fond solidarity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589 220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572 816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-16 404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97,22</w:t>
            </w:r>
          </w:p>
        </w:tc>
      </w:tr>
      <w:tr w:rsidR="008A38D3" w:rsidRPr="008A38D3" w:rsidTr="00752E8B">
        <w:trPr>
          <w:trHeight w:val="270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Spolu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3 532 870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3 456 618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-76 252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97,84</w:t>
            </w:r>
          </w:p>
        </w:tc>
      </w:tr>
    </w:tbl>
    <w:p w:rsidR="008A38D3" w:rsidRPr="008A38D3" w:rsidRDefault="008A38D3" w:rsidP="008A38D3">
      <w:pPr>
        <w:tabs>
          <w:tab w:val="decimal" w:pos="8280"/>
          <w:tab w:val="right" w:pos="8820"/>
          <w:tab w:val="right" w:pos="9000"/>
        </w:tabs>
        <w:spacing w:before="240" w:after="120"/>
        <w:ind w:firstLine="709"/>
        <w:jc w:val="both"/>
        <w:rPr>
          <w:rFonts w:ascii="Arial" w:hAnsi="Arial" w:cs="Arial"/>
          <w:b/>
          <w:szCs w:val="20"/>
        </w:rPr>
      </w:pPr>
      <w:r w:rsidRPr="008A38D3">
        <w:rPr>
          <w:rFonts w:ascii="Arial" w:hAnsi="Arial" w:cs="Arial"/>
          <w:szCs w:val="20"/>
        </w:rPr>
        <w:t>V príjmoch od EAO sú zahrnuté príjmy poistného od zamestnancov, zamestnávateľov, samostatne zárobkovo činných osôb a dobrovoľne poistených osôb</w:t>
      </w:r>
      <w:r w:rsidRPr="008A38D3">
        <w:rPr>
          <w:rFonts w:ascii="Arial" w:hAnsi="Arial" w:cs="Arial"/>
        </w:rPr>
        <w:t xml:space="preserve">. </w:t>
      </w:r>
      <w:r w:rsidRPr="008A38D3">
        <w:rPr>
          <w:rFonts w:ascii="Arial" w:eastAsiaTheme="minorHAnsi" w:hAnsi="Arial" w:cs="Arial"/>
          <w:lang w:eastAsia="en-US"/>
        </w:rPr>
        <w:t xml:space="preserve">Nižšie plnenie príjmov z bežného poistného je v základnom fonde starobného poistenia ovplyvnené aj postupovaním vyššieho, ako predpokladaného, objemu príspevkov na SDS za EAO na účty DSS o 20 541 tis. Eur. </w:t>
      </w:r>
      <w:r w:rsidRPr="008A38D3">
        <w:rPr>
          <w:rFonts w:ascii="Arial" w:hAnsi="Arial" w:cs="Arial"/>
        </w:rPr>
        <w:t>Vyššie</w:t>
      </w:r>
      <w:r w:rsidRPr="008A38D3">
        <w:rPr>
          <w:rFonts w:ascii="Arial" w:hAnsi="Arial" w:cs="Arial"/>
          <w:szCs w:val="20"/>
        </w:rPr>
        <w:t xml:space="preserve"> plnenie príjmov z bežného poistného je najmä v základnom fonde poistenia v nezamestnanosti, čo súvisí najmä s vyšším počtom poistencov a vyšším vymeriavacím základom, ako sa predpokladalo v rozpočte. </w:t>
      </w:r>
    </w:p>
    <w:p w:rsidR="008A38D3" w:rsidRPr="008A38D3" w:rsidRDefault="008A38D3" w:rsidP="008A38D3">
      <w:pPr>
        <w:tabs>
          <w:tab w:val="left" w:pos="709"/>
          <w:tab w:val="decimal" w:pos="8280"/>
        </w:tabs>
        <w:spacing w:before="240" w:after="120"/>
        <w:jc w:val="both"/>
        <w:rPr>
          <w:rFonts w:ascii="Arial" w:hAnsi="Arial" w:cs="Arial"/>
        </w:rPr>
      </w:pPr>
      <w:r w:rsidRPr="008A38D3">
        <w:rPr>
          <w:rFonts w:ascii="Arial" w:hAnsi="Arial"/>
          <w:b/>
          <w:szCs w:val="20"/>
        </w:rPr>
        <w:t>1.1.</w:t>
      </w:r>
      <w:r w:rsidRPr="008A38D3">
        <w:rPr>
          <w:rFonts w:ascii="Arial" w:hAnsi="Arial"/>
          <w:b/>
          <w:szCs w:val="20"/>
        </w:rPr>
        <w:tab/>
        <w:t xml:space="preserve">Poistné štátu </w:t>
      </w:r>
      <w:r w:rsidRPr="008A38D3">
        <w:rPr>
          <w:rFonts w:ascii="Arial" w:hAnsi="Arial"/>
          <w:szCs w:val="20"/>
        </w:rPr>
        <w:t>(vrátane príjmov správneho fondu vo výške 0,5 % z príspevkov na SDS za sporiteľov štátu)</w:t>
      </w:r>
      <w:r w:rsidRPr="008A38D3">
        <w:rPr>
          <w:rFonts w:ascii="Arial" w:hAnsi="Arial"/>
          <w:b/>
          <w:szCs w:val="20"/>
        </w:rPr>
        <w:t xml:space="preserve"> </w:t>
      </w:r>
      <w:r w:rsidRPr="008A38D3">
        <w:rPr>
          <w:rFonts w:ascii="Arial" w:hAnsi="Arial"/>
          <w:szCs w:val="20"/>
        </w:rPr>
        <w:t xml:space="preserve">bolo vo výške </w:t>
      </w:r>
      <w:r w:rsidRPr="008A38D3">
        <w:rPr>
          <w:rFonts w:ascii="Arial" w:hAnsi="Arial"/>
          <w:szCs w:val="20"/>
        </w:rPr>
        <w:tab/>
      </w:r>
      <w:r w:rsidRPr="008A38D3">
        <w:rPr>
          <w:rFonts w:ascii="Arial" w:hAnsi="Arial"/>
          <w:b/>
          <w:szCs w:val="20"/>
        </w:rPr>
        <w:t xml:space="preserve">147 932 tis. Eur, </w:t>
      </w:r>
      <w:r w:rsidRPr="008A38D3">
        <w:rPr>
          <w:rFonts w:ascii="Arial" w:hAnsi="Arial"/>
          <w:b/>
          <w:szCs w:val="20"/>
        </w:rPr>
        <w:br/>
      </w:r>
      <w:r w:rsidRPr="008A38D3">
        <w:rPr>
          <w:rFonts w:ascii="Arial" w:hAnsi="Arial"/>
          <w:szCs w:val="20"/>
        </w:rPr>
        <w:t>čo je 87,91 %-né plnenie upraveného rozpočtu vo výške</w:t>
      </w:r>
      <w:r w:rsidRPr="008A38D3">
        <w:rPr>
          <w:rFonts w:ascii="Arial" w:hAnsi="Arial"/>
          <w:szCs w:val="20"/>
        </w:rPr>
        <w:tab/>
        <w:t>168 275 tis. Eur</w:t>
      </w:r>
      <w:r w:rsidRPr="008A38D3">
        <w:rPr>
          <w:rFonts w:ascii="Arial" w:hAnsi="Arial"/>
          <w:szCs w:val="20"/>
        </w:rPr>
        <w:br/>
        <w:t>a 109,07 %-né plnenie časového rozpisu vo výške</w:t>
      </w:r>
      <w:r w:rsidRPr="008A38D3">
        <w:rPr>
          <w:rFonts w:ascii="Arial" w:hAnsi="Arial"/>
          <w:szCs w:val="20"/>
        </w:rPr>
        <w:tab/>
        <w:t>135 628 tis. Eur.</w:t>
      </w:r>
    </w:p>
    <w:p w:rsidR="008A38D3" w:rsidRPr="008A38D3" w:rsidRDefault="008A38D3" w:rsidP="008A38D3">
      <w:pPr>
        <w:tabs>
          <w:tab w:val="left" w:pos="709"/>
          <w:tab w:val="left" w:pos="5025"/>
        </w:tabs>
        <w:spacing w:after="120"/>
        <w:ind w:firstLine="720"/>
        <w:rPr>
          <w:rFonts w:ascii="Arial" w:hAnsi="Arial"/>
        </w:rPr>
      </w:pPr>
      <w:r w:rsidRPr="008A38D3">
        <w:rPr>
          <w:rFonts w:ascii="Arial" w:hAnsi="Arial"/>
        </w:rPr>
        <w:lastRenderedPageBreak/>
        <w:t>Plnenie rozpočtu v tis. Eur:</w:t>
      </w:r>
    </w:p>
    <w:tbl>
      <w:tblPr>
        <w:tblW w:w="9360" w:type="dxa"/>
        <w:tblInd w:w="7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80"/>
        <w:gridCol w:w="1440"/>
        <w:gridCol w:w="1080"/>
        <w:gridCol w:w="1260"/>
      </w:tblGrid>
      <w:tr w:rsidR="008A38D3" w:rsidRPr="008A38D3" w:rsidTr="00752E8B">
        <w:trPr>
          <w:trHeight w:val="238"/>
        </w:trPr>
        <w:tc>
          <w:tcPr>
            <w:tcW w:w="55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Príjmy 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Časový rozpis</w:t>
            </w:r>
          </w:p>
        </w:tc>
        <w:tc>
          <w:tcPr>
            <w:tcW w:w="10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Skutočnosť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Rozdiel (2-1) </w:t>
            </w:r>
          </w:p>
        </w:tc>
      </w:tr>
      <w:tr w:rsidR="008A38D3" w:rsidRPr="008A38D3" w:rsidTr="00752E8B">
        <w:trPr>
          <w:trHeight w:val="238"/>
        </w:trPr>
        <w:tc>
          <w:tcPr>
            <w:tcW w:w="5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A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8A38D3" w:rsidRPr="008A38D3" w:rsidTr="00752E8B">
        <w:trPr>
          <w:trHeight w:val="238"/>
        </w:trPr>
        <w:tc>
          <w:tcPr>
            <w:tcW w:w="5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Starobné poistenie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  <w:highlight w:val="yellow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78 850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88 159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9 309</w:t>
            </w:r>
          </w:p>
        </w:tc>
      </w:tr>
      <w:tr w:rsidR="008A38D3" w:rsidRPr="008A38D3" w:rsidTr="00752E8B">
        <w:trPr>
          <w:trHeight w:val="238"/>
        </w:trPr>
        <w:tc>
          <w:tcPr>
            <w:tcW w:w="5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Invalidné poistenie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  <w:highlight w:val="yellow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42 447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44 741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2 294</w:t>
            </w:r>
          </w:p>
        </w:tc>
      </w:tr>
      <w:tr w:rsidR="008A38D3" w:rsidRPr="008A38D3" w:rsidTr="00752E8B">
        <w:trPr>
          <w:trHeight w:val="238"/>
        </w:trPr>
        <w:tc>
          <w:tcPr>
            <w:tcW w:w="5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Rezervný fond solidarity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14 088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14 796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708</w:t>
            </w:r>
          </w:p>
        </w:tc>
      </w:tr>
      <w:tr w:rsidR="008A38D3" w:rsidRPr="008A38D3" w:rsidTr="00752E8B">
        <w:trPr>
          <w:trHeight w:val="238"/>
        </w:trPr>
        <w:tc>
          <w:tcPr>
            <w:tcW w:w="5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správneho fondu  z príspevkov na SDS za poistencov štátu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243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236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-7</w:t>
            </w:r>
          </w:p>
        </w:tc>
      </w:tr>
      <w:tr w:rsidR="008A38D3" w:rsidRPr="008A38D3" w:rsidTr="00752E8B">
        <w:trPr>
          <w:trHeight w:val="238"/>
        </w:trPr>
        <w:tc>
          <w:tcPr>
            <w:tcW w:w="5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Spolu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  <w:highlight w:val="yellow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135 628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  <w:highlight w:val="yellow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147 932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12 304</w:t>
            </w:r>
          </w:p>
        </w:tc>
      </w:tr>
    </w:tbl>
    <w:p w:rsidR="008A38D3" w:rsidRPr="008A38D3" w:rsidRDefault="008A38D3" w:rsidP="008A38D3">
      <w:pPr>
        <w:tabs>
          <w:tab w:val="left" w:pos="6840"/>
        </w:tabs>
        <w:spacing w:before="120"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Príjmy z poistného plateného štátom predstavujú finančné prostriedky, ktoré v hodnotenom období poukázalo Ministerstvo práce, sociálnych vecí a rodiny SR (MPSVR SR), znížené o  príspevky na SDS, ktoré Sociálna poisťovňa poukázala na príslušné účty DSS.</w:t>
      </w:r>
    </w:p>
    <w:p w:rsidR="008A38D3" w:rsidRPr="008A38D3" w:rsidRDefault="008A38D3" w:rsidP="008A38D3">
      <w:pPr>
        <w:tabs>
          <w:tab w:val="left" w:pos="720"/>
          <w:tab w:val="decimal" w:pos="8280"/>
        </w:tabs>
        <w:spacing w:after="120"/>
        <w:rPr>
          <w:rFonts w:ascii="Arial" w:hAnsi="Arial"/>
          <w:szCs w:val="20"/>
        </w:rPr>
      </w:pPr>
      <w:r w:rsidRPr="008A38D3">
        <w:rPr>
          <w:rFonts w:ascii="Arial" w:hAnsi="Arial"/>
          <w:b/>
          <w:szCs w:val="20"/>
        </w:rPr>
        <w:t>1.2.</w:t>
      </w:r>
      <w:r w:rsidRPr="008A38D3">
        <w:rPr>
          <w:rFonts w:ascii="Arial" w:hAnsi="Arial"/>
          <w:b/>
          <w:szCs w:val="20"/>
        </w:rPr>
        <w:tab/>
        <w:t xml:space="preserve">Sociálna poisťovňa </w:t>
      </w:r>
      <w:r w:rsidRPr="008A38D3">
        <w:rPr>
          <w:rFonts w:ascii="Arial" w:hAnsi="Arial"/>
          <w:szCs w:val="20"/>
        </w:rPr>
        <w:t xml:space="preserve">zaplatila poistné v sume </w:t>
      </w:r>
      <w:r w:rsidRPr="008A38D3">
        <w:rPr>
          <w:rFonts w:ascii="Arial" w:hAnsi="Arial"/>
          <w:szCs w:val="20"/>
        </w:rPr>
        <w:tab/>
        <w:t xml:space="preserve">    </w:t>
      </w:r>
      <w:r w:rsidRPr="008A38D3">
        <w:rPr>
          <w:rFonts w:ascii="Arial" w:hAnsi="Arial"/>
          <w:b/>
          <w:szCs w:val="20"/>
        </w:rPr>
        <w:t>1 625 tis. Eur,</w:t>
      </w:r>
      <w:r w:rsidRPr="008A38D3">
        <w:rPr>
          <w:rFonts w:ascii="Arial" w:hAnsi="Arial"/>
          <w:szCs w:val="20"/>
        </w:rPr>
        <w:br/>
        <w:t>čo je 86,07 %-né plnenie upraveného rozpočtu v sume</w:t>
      </w:r>
      <w:r w:rsidRPr="008A38D3">
        <w:rPr>
          <w:rFonts w:ascii="Arial" w:hAnsi="Arial"/>
          <w:szCs w:val="20"/>
        </w:rPr>
        <w:tab/>
        <w:t>1 888 tis. Eur</w:t>
      </w:r>
      <w:r w:rsidRPr="008A38D3">
        <w:rPr>
          <w:rFonts w:ascii="Arial" w:hAnsi="Arial"/>
          <w:szCs w:val="20"/>
        </w:rPr>
        <w:br/>
      </w:r>
      <w:r w:rsidRPr="008A38D3">
        <w:rPr>
          <w:rFonts w:ascii="Arial" w:hAnsi="Arial" w:cs="Arial"/>
        </w:rPr>
        <w:t>a 103,37 %-né plnenie časového rozpisu v sume</w:t>
      </w:r>
      <w:r w:rsidRPr="008A38D3">
        <w:rPr>
          <w:rFonts w:ascii="Arial" w:hAnsi="Arial" w:cs="Arial"/>
        </w:rPr>
        <w:tab/>
        <w:t>1 572 tis. Eur</w:t>
      </w:r>
      <w:r w:rsidRPr="008A38D3">
        <w:rPr>
          <w:rFonts w:ascii="Arial" w:hAnsi="Arial"/>
          <w:szCs w:val="20"/>
        </w:rPr>
        <w:t>.</w:t>
      </w:r>
    </w:p>
    <w:p w:rsidR="008A38D3" w:rsidRPr="008A38D3" w:rsidRDefault="008A38D3" w:rsidP="008A38D3">
      <w:pPr>
        <w:tabs>
          <w:tab w:val="left" w:pos="709"/>
          <w:tab w:val="decimal" w:pos="8280"/>
        </w:tabs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V uvedenej sume je zahrnuté:</w:t>
      </w:r>
    </w:p>
    <w:p w:rsidR="008A38D3" w:rsidRPr="008A38D3" w:rsidRDefault="008A38D3" w:rsidP="008A38D3">
      <w:pPr>
        <w:numPr>
          <w:ilvl w:val="0"/>
          <w:numId w:val="12"/>
        </w:numPr>
        <w:tabs>
          <w:tab w:val="decimal" w:pos="8280"/>
        </w:tabs>
        <w:spacing w:line="276" w:lineRule="auto"/>
        <w:ind w:hanging="720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 xml:space="preserve">poistné zo základného fondu úrazového poistenia do základného </w:t>
      </w:r>
      <w:r w:rsidRPr="008A38D3">
        <w:rPr>
          <w:rFonts w:ascii="Arial" w:hAnsi="Arial"/>
          <w:szCs w:val="20"/>
        </w:rPr>
        <w:br/>
        <w:t>fondu starobného poistenia vo výške</w:t>
      </w:r>
      <w:r w:rsidRPr="008A38D3">
        <w:rPr>
          <w:rFonts w:ascii="Arial" w:hAnsi="Arial"/>
          <w:szCs w:val="20"/>
        </w:rPr>
        <w:tab/>
        <w:t>1 633 tis. Eur,</w:t>
      </w:r>
    </w:p>
    <w:p w:rsidR="008A38D3" w:rsidRPr="008A38D3" w:rsidRDefault="008A38D3" w:rsidP="008A38D3">
      <w:pPr>
        <w:numPr>
          <w:ilvl w:val="0"/>
          <w:numId w:val="12"/>
        </w:numPr>
        <w:tabs>
          <w:tab w:val="decimal" w:pos="8280"/>
        </w:tabs>
        <w:spacing w:after="120" w:line="276" w:lineRule="auto"/>
        <w:ind w:hanging="720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 xml:space="preserve">zúčtovanie poistného od Sociálnej poisťovne za minulé obdobia </w:t>
      </w:r>
      <w:r w:rsidRPr="008A38D3">
        <w:rPr>
          <w:rFonts w:ascii="Arial" w:hAnsi="Arial"/>
          <w:szCs w:val="20"/>
        </w:rPr>
        <w:br/>
        <w:t>vo výške</w:t>
      </w:r>
      <w:r w:rsidRPr="008A38D3">
        <w:rPr>
          <w:rFonts w:ascii="Arial" w:hAnsi="Arial"/>
          <w:szCs w:val="20"/>
        </w:rPr>
        <w:tab/>
        <w:t>-8 tis. Eur.</w:t>
      </w:r>
    </w:p>
    <w:p w:rsidR="008A38D3" w:rsidRPr="008A38D3" w:rsidRDefault="008A38D3" w:rsidP="008A38D3">
      <w:pPr>
        <w:tabs>
          <w:tab w:val="decimal" w:pos="8280"/>
        </w:tabs>
        <w:spacing w:before="240" w:after="120"/>
        <w:ind w:firstLine="709"/>
        <w:contextualSpacing/>
        <w:jc w:val="both"/>
        <w:rPr>
          <w:rFonts w:ascii="Arial" w:hAnsi="Arial" w:cs="Arial"/>
          <w:i/>
          <w:szCs w:val="20"/>
        </w:rPr>
      </w:pPr>
      <w:r w:rsidRPr="008A38D3">
        <w:rPr>
          <w:rFonts w:ascii="Arial" w:hAnsi="Arial" w:cs="Arial"/>
          <w:b/>
          <w:szCs w:val="20"/>
        </w:rPr>
        <w:t>Ukazovateľ úspešnosti výberu poistného a príspevkov na SDS</w:t>
      </w:r>
      <w:r w:rsidRPr="008A38D3">
        <w:rPr>
          <w:rFonts w:ascii="Arial" w:hAnsi="Arial" w:cs="Arial"/>
          <w:szCs w:val="20"/>
        </w:rPr>
        <w:t xml:space="preserve"> (ďalej len "úspešnosť výberu poistného") vyjadruje platobnú disciplínu odvádzateľov (právnických a fyzických osôb) voči Sociálnej poisťovni, ako aj úroveň vzájomnej komunikácie odvádzateľov poistného a pobočiek Sociálnej poisťovne (ďalej len „pobočky“), vrátane kvality práce pobočiek s pohľadávkami súvisiacimi s nezaplateným poistným. </w:t>
      </w:r>
      <w:r w:rsidRPr="008A38D3">
        <w:rPr>
          <w:rFonts w:ascii="Arial" w:hAnsi="Arial" w:cs="Arial"/>
          <w:b/>
          <w:szCs w:val="20"/>
        </w:rPr>
        <w:t xml:space="preserve">Ukazovateľ úspešnosti výberu poistného </w:t>
      </w:r>
      <w:r w:rsidRPr="008A38D3">
        <w:rPr>
          <w:rFonts w:ascii="Arial" w:hAnsi="Arial" w:cs="Arial"/>
          <w:szCs w:val="20"/>
        </w:rPr>
        <w:t>je stanovený ako pomer uhradeného predpísaného poistného a príspevkov na SDS, pokút a penále a ich predpisu. V období január až október 2011 je jeho hodnota 105,90 </w:t>
      </w:r>
      <w:r w:rsidRPr="008A38D3">
        <w:rPr>
          <w:rFonts w:ascii="Arial" w:hAnsi="Arial" w:cs="Arial"/>
          <w:b/>
          <w:szCs w:val="20"/>
        </w:rPr>
        <w:t>%.</w:t>
      </w:r>
      <w:r w:rsidRPr="008A38D3">
        <w:rPr>
          <w:rFonts w:ascii="Arial" w:hAnsi="Arial" w:cs="Arial"/>
          <w:i/>
          <w:szCs w:val="20"/>
        </w:rPr>
        <w:t xml:space="preserve"> </w:t>
      </w:r>
    </w:p>
    <w:p w:rsidR="008A38D3" w:rsidRPr="008A38D3" w:rsidRDefault="008A38D3" w:rsidP="008A38D3">
      <w:pPr>
        <w:tabs>
          <w:tab w:val="left" w:pos="720"/>
          <w:tab w:val="decimal" w:pos="8280"/>
        </w:tabs>
        <w:spacing w:before="240" w:after="120"/>
        <w:rPr>
          <w:rFonts w:ascii="Arial" w:hAnsi="Arial" w:cs="Arial"/>
        </w:rPr>
      </w:pPr>
      <w:r w:rsidRPr="008A38D3">
        <w:rPr>
          <w:rFonts w:ascii="Arial" w:hAnsi="Arial" w:cs="Arial"/>
          <w:b/>
        </w:rPr>
        <w:t xml:space="preserve">1.3. </w:t>
      </w:r>
      <w:r w:rsidRPr="008A38D3">
        <w:rPr>
          <w:rFonts w:ascii="Arial" w:hAnsi="Arial" w:cs="Arial"/>
          <w:b/>
        </w:rPr>
        <w:tab/>
        <w:t xml:space="preserve">Ostatné príjmy </w:t>
      </w:r>
      <w:r w:rsidRPr="008A38D3">
        <w:rPr>
          <w:rFonts w:ascii="Arial" w:hAnsi="Arial" w:cs="Arial"/>
        </w:rPr>
        <w:t xml:space="preserve">(vrátane prostriedkov zo ŠR SR) dosiahli </w:t>
      </w:r>
      <w:r w:rsidRPr="008A38D3">
        <w:rPr>
          <w:rFonts w:ascii="Arial" w:hAnsi="Arial" w:cs="Arial"/>
        </w:rPr>
        <w:br/>
        <w:t xml:space="preserve">výšku </w:t>
      </w:r>
      <w:r w:rsidRPr="008A38D3">
        <w:rPr>
          <w:rFonts w:ascii="Arial" w:hAnsi="Arial" w:cs="Arial"/>
        </w:rPr>
        <w:tab/>
      </w:r>
      <w:r w:rsidRPr="008A38D3">
        <w:rPr>
          <w:rFonts w:ascii="Arial" w:hAnsi="Arial" w:cs="Arial"/>
        </w:rPr>
        <w:tab/>
      </w:r>
      <w:r w:rsidRPr="008A38D3">
        <w:rPr>
          <w:rFonts w:ascii="Arial" w:hAnsi="Arial" w:cs="Arial"/>
          <w:b/>
        </w:rPr>
        <w:t>1 352 957 tis. Eur</w:t>
      </w:r>
      <w:r w:rsidRPr="008A38D3">
        <w:rPr>
          <w:rFonts w:ascii="Arial" w:hAnsi="Arial" w:cs="Arial"/>
          <w:b/>
        </w:rPr>
        <w:br/>
      </w:r>
      <w:r w:rsidRPr="008A38D3">
        <w:rPr>
          <w:rFonts w:ascii="Arial" w:hAnsi="Arial" w:cs="Arial"/>
        </w:rPr>
        <w:t>čo je 83,54 %- né plnenie upraveného rozpočtu vo výške</w:t>
      </w:r>
      <w:r w:rsidRPr="008A38D3">
        <w:rPr>
          <w:rFonts w:ascii="Arial" w:hAnsi="Arial" w:cs="Arial"/>
        </w:rPr>
        <w:tab/>
        <w:t>1 619 455 tis. Eur</w:t>
      </w:r>
      <w:r w:rsidRPr="008A38D3">
        <w:rPr>
          <w:rFonts w:ascii="Arial" w:hAnsi="Arial" w:cs="Arial"/>
        </w:rPr>
        <w:br/>
        <w:t>a 100,27 %- né plnenie časového rozpisu vo výške</w:t>
      </w:r>
      <w:r w:rsidRPr="008A38D3">
        <w:rPr>
          <w:rFonts w:ascii="Arial" w:hAnsi="Arial" w:cs="Arial"/>
        </w:rPr>
        <w:tab/>
        <w:t>1 349 314 tis. Eur.</w:t>
      </w:r>
    </w:p>
    <w:p w:rsidR="008A38D3" w:rsidRPr="008A38D3" w:rsidRDefault="008A38D3" w:rsidP="008A38D3">
      <w:pPr>
        <w:tabs>
          <w:tab w:val="right" w:pos="9000"/>
        </w:tabs>
        <w:spacing w:before="240"/>
        <w:ind w:firstLine="72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>Na celkovej výške ostatných príjmov sa, okrem príjmov zo ŠR SR vo výške 1 340 611 tis. Eur (do základného fondu starobného poistenia vo výške 1 296 823 tis. Eur na krytie deficitov vzniknutých v dôsledku zavedenia II. piliera a ako finančná výpomoc z dôvodu platobnej neschopnosti základného fondu starobného poistenia v zmysle § 157 ods. 4 zákona o sociálnom poistení a do RFS vo výške 43 788 tis. Eur v zmysle §293bg zákona o sociálnom poistení), podieľajú:</w:t>
      </w:r>
    </w:p>
    <w:p w:rsidR="008A38D3" w:rsidRPr="008A38D3" w:rsidRDefault="008A38D3" w:rsidP="008A38D3">
      <w:pPr>
        <w:numPr>
          <w:ilvl w:val="0"/>
          <w:numId w:val="9"/>
        </w:numPr>
        <w:tabs>
          <w:tab w:val="num" w:pos="720"/>
          <w:tab w:val="decimal" w:pos="8280"/>
        </w:tabs>
        <w:ind w:left="0" w:firstLine="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>príjmy z úrokov na bežných účtoch a termínovaných vkladoch</w:t>
      </w:r>
      <w:r w:rsidRPr="008A38D3">
        <w:rPr>
          <w:rFonts w:ascii="Arial" w:hAnsi="Arial" w:cs="Arial"/>
        </w:rPr>
        <w:tab/>
        <w:t>2 520 tis. Eur,</w:t>
      </w:r>
    </w:p>
    <w:p w:rsidR="008A38D3" w:rsidRPr="008A38D3" w:rsidRDefault="008A38D3" w:rsidP="008A38D3">
      <w:pPr>
        <w:numPr>
          <w:ilvl w:val="0"/>
          <w:numId w:val="9"/>
        </w:numPr>
        <w:tabs>
          <w:tab w:val="num" w:pos="720"/>
          <w:tab w:val="decimal" w:pos="8280"/>
        </w:tabs>
        <w:ind w:left="0" w:firstLine="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>príjmy z majetku Sociálnej poisťovne (najmä z prenájmu)</w:t>
      </w:r>
      <w:r w:rsidRPr="008A38D3">
        <w:rPr>
          <w:rFonts w:ascii="Arial" w:hAnsi="Arial" w:cs="Arial"/>
        </w:rPr>
        <w:tab/>
        <w:t>617 tis. Eur,</w:t>
      </w:r>
    </w:p>
    <w:p w:rsidR="008A38D3" w:rsidRPr="008A38D3" w:rsidRDefault="008A38D3" w:rsidP="008A38D3">
      <w:pPr>
        <w:numPr>
          <w:ilvl w:val="0"/>
          <w:numId w:val="9"/>
        </w:numPr>
        <w:tabs>
          <w:tab w:val="num" w:pos="720"/>
          <w:tab w:val="decimal" w:pos="8280"/>
        </w:tabs>
        <w:ind w:left="0" w:firstLine="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>príjmy z úhrad preplatkov na dávkach a regresných náhrad</w:t>
      </w:r>
      <w:r w:rsidRPr="008A38D3">
        <w:rPr>
          <w:rFonts w:ascii="Arial" w:hAnsi="Arial" w:cs="Arial"/>
        </w:rPr>
        <w:tab/>
        <w:t>4 621 tis. Eur,</w:t>
      </w:r>
    </w:p>
    <w:p w:rsidR="008A38D3" w:rsidRPr="008A38D3" w:rsidRDefault="008A38D3" w:rsidP="008A38D3">
      <w:pPr>
        <w:numPr>
          <w:ilvl w:val="0"/>
          <w:numId w:val="9"/>
        </w:numPr>
        <w:tabs>
          <w:tab w:val="num" w:pos="720"/>
          <w:tab w:val="decimal" w:pos="8280"/>
        </w:tabs>
        <w:ind w:left="0" w:firstLine="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>príjmy z úhrad preplatkov na zaniknutých dôchodkoch</w:t>
      </w:r>
      <w:r w:rsidRPr="008A38D3">
        <w:rPr>
          <w:rFonts w:ascii="Arial" w:hAnsi="Arial" w:cs="Arial"/>
        </w:rPr>
        <w:tab/>
        <w:t>185 tis. Eur,</w:t>
      </w:r>
    </w:p>
    <w:p w:rsidR="008A38D3" w:rsidRPr="008A38D3" w:rsidRDefault="008A38D3" w:rsidP="008A38D3">
      <w:pPr>
        <w:numPr>
          <w:ilvl w:val="0"/>
          <w:numId w:val="9"/>
        </w:numPr>
        <w:tabs>
          <w:tab w:val="num" w:pos="720"/>
          <w:tab w:val="decimal" w:pos="8280"/>
        </w:tabs>
        <w:ind w:left="0" w:firstLine="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>príjmy z úhrad poistného bez právneho titulu</w:t>
      </w:r>
      <w:r w:rsidRPr="008A38D3">
        <w:rPr>
          <w:rFonts w:ascii="Arial" w:hAnsi="Arial" w:cs="Arial"/>
        </w:rPr>
        <w:tab/>
        <w:t>3 168 tis. Eur,</w:t>
      </w:r>
    </w:p>
    <w:p w:rsidR="008A38D3" w:rsidRPr="008A38D3" w:rsidRDefault="008A38D3" w:rsidP="008A38D3">
      <w:pPr>
        <w:numPr>
          <w:ilvl w:val="0"/>
          <w:numId w:val="9"/>
        </w:numPr>
        <w:tabs>
          <w:tab w:val="num" w:pos="720"/>
          <w:tab w:val="decimal" w:pos="8280"/>
        </w:tabs>
        <w:ind w:left="0" w:firstLine="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>príjmy z pokút za porušovanie povinností</w:t>
      </w:r>
      <w:r w:rsidRPr="008A38D3">
        <w:rPr>
          <w:rFonts w:ascii="Arial" w:hAnsi="Arial" w:cs="Arial"/>
        </w:rPr>
        <w:tab/>
        <w:t>107 tis. Eur</w:t>
      </w:r>
    </w:p>
    <w:p w:rsidR="008A38D3" w:rsidRPr="008A38D3" w:rsidRDefault="008A38D3" w:rsidP="008A38D3">
      <w:pPr>
        <w:numPr>
          <w:ilvl w:val="0"/>
          <w:numId w:val="9"/>
        </w:numPr>
        <w:tabs>
          <w:tab w:val="num" w:pos="720"/>
          <w:tab w:val="decimal" w:pos="8280"/>
        </w:tabs>
        <w:spacing w:after="120"/>
        <w:ind w:left="0" w:firstLine="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>príjmy z úhrad administratívnych preplatkov a iné</w:t>
      </w:r>
      <w:r w:rsidRPr="008A38D3">
        <w:rPr>
          <w:rFonts w:ascii="Arial" w:hAnsi="Arial" w:cs="Arial"/>
        </w:rPr>
        <w:tab/>
        <w:t>1 128 tis. Eur.</w:t>
      </w:r>
    </w:p>
    <w:p w:rsidR="008A38D3" w:rsidRPr="008A38D3" w:rsidRDefault="008A38D3" w:rsidP="008A38D3">
      <w:pPr>
        <w:spacing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 w:cs="Arial"/>
        </w:rPr>
        <w:lastRenderedPageBreak/>
        <w:t>Ostatné príjmy, okrem príjmov zo ŠR SR, boli pripisované do jednotlivých fondov podľa vecnej príslušnosti. Úroky z bežných účtov pobočiek sa rozdelili do fondov percentuálne, zodpovedajúc podielu príjmov konkrétneho základného fondu a rezervného fondu solidarity na celkových príjmoch z poistného.</w:t>
      </w:r>
      <w:r w:rsidRPr="008A38D3">
        <w:rPr>
          <w:rFonts w:ascii="Arial" w:hAnsi="Arial"/>
          <w:szCs w:val="20"/>
        </w:rPr>
        <w:t xml:space="preserve"> </w:t>
      </w:r>
    </w:p>
    <w:p w:rsidR="008A38D3" w:rsidRPr="008A38D3" w:rsidRDefault="008A38D3" w:rsidP="008A38D3">
      <w:pPr>
        <w:spacing w:before="240" w:after="120"/>
        <w:jc w:val="both"/>
        <w:rPr>
          <w:rFonts w:ascii="Arial" w:hAnsi="Arial" w:cs="Arial"/>
          <w:b/>
          <w:szCs w:val="20"/>
        </w:rPr>
      </w:pPr>
      <w:r w:rsidRPr="008A38D3">
        <w:rPr>
          <w:rFonts w:ascii="Arial" w:hAnsi="Arial" w:cs="Arial"/>
          <w:b/>
          <w:szCs w:val="20"/>
        </w:rPr>
        <w:t>1.4.</w:t>
      </w:r>
      <w:r w:rsidRPr="008A38D3">
        <w:rPr>
          <w:rFonts w:ascii="Arial" w:hAnsi="Arial" w:cs="Arial"/>
          <w:b/>
          <w:szCs w:val="20"/>
        </w:rPr>
        <w:tab/>
        <w:t>Tvorba fondov</w:t>
      </w:r>
    </w:p>
    <w:p w:rsidR="008A38D3" w:rsidRPr="008A38D3" w:rsidRDefault="008A38D3" w:rsidP="008A38D3">
      <w:pPr>
        <w:spacing w:before="240"/>
        <w:ind w:firstLine="709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>Z príjmov poistného, pokút, penále a ostatných príjmov v mesiacoch január až október 2011 boli vytvorené jednotlivé fondy takto:</w:t>
      </w:r>
    </w:p>
    <w:tbl>
      <w:tblPr>
        <w:tblW w:w="8928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66"/>
        <w:gridCol w:w="1678"/>
        <w:gridCol w:w="1984"/>
        <w:gridCol w:w="1400"/>
      </w:tblGrid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v tis. Eur</w:t>
            </w:r>
          </w:p>
        </w:tc>
      </w:tr>
      <w:tr w:rsidR="008A38D3" w:rsidRPr="008A38D3" w:rsidTr="00752E8B">
        <w:trPr>
          <w:trHeight w:val="555"/>
        </w:trPr>
        <w:tc>
          <w:tcPr>
            <w:tcW w:w="3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 xml:space="preserve">Fond  </w:t>
            </w:r>
          </w:p>
        </w:tc>
        <w:tc>
          <w:tcPr>
            <w:tcW w:w="1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Tvorba fondu v bežnom roku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Prevod zostatku z roku 2010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Tvorba fondu celkom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nemocenského poistenia</w:t>
            </w:r>
          </w:p>
        </w:tc>
        <w:tc>
          <w:tcPr>
            <w:tcW w:w="1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329 895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74 361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404 256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starobného poistenia</w:t>
            </w:r>
          </w:p>
        </w:tc>
        <w:tc>
          <w:tcPr>
            <w:tcW w:w="1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3 020 100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129 955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3 150 055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invalidného poistenia</w:t>
            </w:r>
          </w:p>
        </w:tc>
        <w:tc>
          <w:tcPr>
            <w:tcW w:w="1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773 834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24 867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798 701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úrazového poistenia</w:t>
            </w:r>
          </w:p>
        </w:tc>
        <w:tc>
          <w:tcPr>
            <w:tcW w:w="1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105 268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70 603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175 871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garančného poistenia</w:t>
            </w:r>
          </w:p>
        </w:tc>
        <w:tc>
          <w:tcPr>
            <w:tcW w:w="1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43 656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26 182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69 838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poistenia v nezamestnanosti</w:t>
            </w:r>
          </w:p>
        </w:tc>
        <w:tc>
          <w:tcPr>
            <w:tcW w:w="1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230 922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59 345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290 267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Rezervný fond solidarity</w:t>
            </w:r>
          </w:p>
        </w:tc>
        <w:tc>
          <w:tcPr>
            <w:tcW w:w="1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655 074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9 882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664 956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Správny fond</w:t>
            </w:r>
          </w:p>
        </w:tc>
        <w:tc>
          <w:tcPr>
            <w:tcW w:w="1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94 927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40 472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135 399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Spolu</w:t>
            </w:r>
          </w:p>
        </w:tc>
        <w:tc>
          <w:tcPr>
            <w:tcW w:w="1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5 253 676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435 667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5 689 343</w:t>
            </w:r>
          </w:p>
        </w:tc>
      </w:tr>
    </w:tbl>
    <w:p w:rsidR="008A38D3" w:rsidRPr="008A38D3" w:rsidRDefault="008A38D3" w:rsidP="008A38D3">
      <w:pPr>
        <w:ind w:firstLine="709"/>
        <w:jc w:val="both"/>
        <w:rPr>
          <w:rFonts w:ascii="Arial" w:hAnsi="Arial" w:cs="Arial"/>
        </w:rPr>
      </w:pPr>
    </w:p>
    <w:p w:rsidR="008A38D3" w:rsidRPr="008A38D3" w:rsidRDefault="008A38D3" w:rsidP="008A38D3">
      <w:pPr>
        <w:numPr>
          <w:ilvl w:val="0"/>
          <w:numId w:val="6"/>
        </w:numPr>
        <w:tabs>
          <w:tab w:val="clear" w:pos="720"/>
        </w:tabs>
        <w:spacing w:before="240" w:after="120"/>
        <w:ind w:left="0" w:firstLine="0"/>
        <w:jc w:val="both"/>
        <w:rPr>
          <w:rFonts w:ascii="Arial" w:hAnsi="Arial"/>
          <w:b/>
          <w:sz w:val="28"/>
          <w:szCs w:val="28"/>
        </w:rPr>
      </w:pPr>
      <w:r w:rsidRPr="008A38D3">
        <w:rPr>
          <w:rFonts w:ascii="Arial" w:hAnsi="Arial"/>
          <w:b/>
          <w:sz w:val="28"/>
          <w:szCs w:val="28"/>
        </w:rPr>
        <w:t>Pohľadávky</w:t>
      </w:r>
    </w:p>
    <w:p w:rsidR="008A38D3" w:rsidRPr="008A38D3" w:rsidRDefault="008A38D3" w:rsidP="008A38D3">
      <w:pPr>
        <w:spacing w:before="120"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Pohľadávky podľa § 148 zákona č. 461/2003 Z. z. o sociálnom poistení v znení neskorších predpisov (ďalej len pohľadávky) evidované Sociálnou poisťovňou k 31. októbru 2011 dosiahli výšku 563 143 tis. Eur a oproti stavu k 31. decembru 2010 klesli o 260 061 tis. Eur. Podiel pohľadávok predpísaných na základe právoplatného rozhodnutia k 31. októbru 2011 predstavoval 92,7 % z celkových pohľadávok. Najväčší podiel na pohľadávkach predstavujú pohľadávky na poistnom (67,8 %). V rámci uvedených pohľadávok Sociálna poisťovňa eviduje k 31. októbru 2011 pohľadávky z roku 1993 (pohľadávky štátu) v celkovom objeme 29 043 tis. Eur (5,2 % z celkového objemu pohľadávok) a pohľadávky zo zúčtovania poistného z roku 1994 na zdravotnom fonde v celkovom objeme 6 928 tis. Eur (1,2%). Vývoj pohľadávok Sociálnej poisťovne podľa druhov a podľa fondov mesačne v roku 2011 je uvedený v prílohe.</w:t>
      </w:r>
    </w:p>
    <w:p w:rsidR="008A38D3" w:rsidRPr="008A38D3" w:rsidRDefault="008A38D3" w:rsidP="008A38D3">
      <w:pPr>
        <w:tabs>
          <w:tab w:val="left" w:pos="6660"/>
        </w:tabs>
        <w:spacing w:before="120" w:after="120"/>
        <w:ind w:firstLine="540"/>
        <w:jc w:val="both"/>
        <w:rPr>
          <w:rFonts w:ascii="Arial" w:hAnsi="Arial" w:cs="Arial"/>
          <w:color w:val="000000"/>
          <w:szCs w:val="20"/>
        </w:rPr>
      </w:pPr>
      <w:r w:rsidRPr="008A38D3">
        <w:rPr>
          <w:rFonts w:ascii="Arial" w:hAnsi="Arial" w:cs="Arial"/>
          <w:color w:val="000000"/>
          <w:szCs w:val="20"/>
        </w:rPr>
        <w:t xml:space="preserve">Sociálna poisťovňa podala v mesiaci október 2011 celkom 18 086 návrhov na vykonanie exekúcie, kde vymáhaná suma predstavovala výšku 15 556 tis. Eur. Počet podaní sa v porovnaní s mesiacom september 2011 zvýšil o 3 116 podaní (t.j. o 20,8 %), výška vymáhanej pohľadávky vzrástla o 4 043 tis. Eur (t.j. o 35,1 %). </w:t>
      </w:r>
    </w:p>
    <w:p w:rsidR="008A38D3" w:rsidRPr="008A38D3" w:rsidRDefault="008A38D3" w:rsidP="008A38D3">
      <w:pPr>
        <w:spacing w:before="120" w:after="120"/>
        <w:ind w:firstLine="540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Od začiatku roka podali pobočky spolu 128 145 návrhov na výkon exekúcie v celkovom objeme 105</w:t>
      </w:r>
      <w:r w:rsidRPr="008A38D3">
        <w:rPr>
          <w:rFonts w:ascii="Arial" w:hAnsi="Arial" w:cs="Arial"/>
          <w:bCs/>
          <w:szCs w:val="20"/>
        </w:rPr>
        <w:t xml:space="preserve"> 014 tis. Eur. </w:t>
      </w:r>
      <w:r w:rsidRPr="008A38D3">
        <w:rPr>
          <w:rFonts w:ascii="Arial" w:hAnsi="Arial" w:cs="Arial"/>
          <w:color w:val="000000"/>
          <w:szCs w:val="20"/>
        </w:rPr>
        <w:t>Podrobnejší prehľad je uvedený v prílohe</w:t>
      </w:r>
      <w:r w:rsidRPr="008A38D3">
        <w:rPr>
          <w:rFonts w:ascii="Arial" w:hAnsi="Arial" w:cs="Arial"/>
          <w:szCs w:val="20"/>
        </w:rPr>
        <w:t>.</w:t>
      </w:r>
    </w:p>
    <w:p w:rsidR="008A38D3" w:rsidRPr="008A38D3" w:rsidRDefault="008A38D3" w:rsidP="008A38D3">
      <w:pPr>
        <w:spacing w:before="120" w:after="120"/>
        <w:ind w:firstLine="709"/>
        <w:jc w:val="both"/>
        <w:rPr>
          <w:rFonts w:ascii="Arial" w:hAnsi="Arial" w:cs="Arial"/>
          <w:color w:val="000000"/>
          <w:szCs w:val="20"/>
          <w:highlight w:val="cyan"/>
        </w:rPr>
      </w:pPr>
      <w:r w:rsidRPr="008A38D3">
        <w:rPr>
          <w:rFonts w:ascii="Arial" w:hAnsi="Arial" w:cs="Arial"/>
          <w:szCs w:val="20"/>
        </w:rPr>
        <w:t xml:space="preserve">V roku 2011 Sociálna poisťovňa previedla do </w:t>
      </w:r>
      <w:r w:rsidRPr="008A38D3">
        <w:rPr>
          <w:rFonts w:ascii="Arial" w:hAnsi="Arial" w:cs="Arial"/>
          <w:i/>
          <w:szCs w:val="20"/>
        </w:rPr>
        <w:t>mandátnej správy</w:t>
      </w:r>
      <w:r w:rsidRPr="008A38D3">
        <w:rPr>
          <w:rFonts w:ascii="Arial" w:hAnsi="Arial" w:cs="Arial"/>
          <w:szCs w:val="20"/>
        </w:rPr>
        <w:t xml:space="preserve"> spolu 20 272 pohľadávok v sume 12 340 tis. Eur. K 31. októbru 2011 bolo spolu akceptovaných úhrad v objeme  14 410 tis. Eur.</w:t>
      </w:r>
      <w:r w:rsidRPr="008A38D3">
        <w:rPr>
          <w:rFonts w:ascii="Arial" w:hAnsi="Arial" w:cs="Arial"/>
          <w:color w:val="000000"/>
          <w:szCs w:val="20"/>
        </w:rPr>
        <w:t xml:space="preserve"> </w:t>
      </w:r>
      <w:r w:rsidRPr="008A38D3">
        <w:rPr>
          <w:rFonts w:ascii="Arial" w:hAnsi="Arial" w:cs="Arial"/>
          <w:szCs w:val="20"/>
        </w:rPr>
        <w:t xml:space="preserve">Prehľad pohľadávok vymáhaných prostredníctvom mandátnej správy spoločnosťou </w:t>
      </w:r>
      <w:proofErr w:type="spellStart"/>
      <w:r w:rsidRPr="008A38D3">
        <w:rPr>
          <w:rFonts w:ascii="Arial" w:hAnsi="Arial" w:cs="Arial"/>
          <w:szCs w:val="20"/>
        </w:rPr>
        <w:t>General</w:t>
      </w:r>
      <w:proofErr w:type="spellEnd"/>
      <w:r w:rsidRPr="008A38D3">
        <w:rPr>
          <w:rFonts w:ascii="Arial" w:hAnsi="Arial" w:cs="Arial"/>
          <w:szCs w:val="20"/>
        </w:rPr>
        <w:t xml:space="preserve"> </w:t>
      </w:r>
      <w:proofErr w:type="spellStart"/>
      <w:r w:rsidRPr="008A38D3">
        <w:rPr>
          <w:rFonts w:ascii="Arial" w:hAnsi="Arial" w:cs="Arial"/>
          <w:szCs w:val="20"/>
        </w:rPr>
        <w:t>Factoring</w:t>
      </w:r>
      <w:proofErr w:type="spellEnd"/>
      <w:r w:rsidRPr="008A38D3">
        <w:rPr>
          <w:rFonts w:ascii="Arial" w:hAnsi="Arial" w:cs="Arial"/>
          <w:szCs w:val="20"/>
        </w:rPr>
        <w:t xml:space="preserve"> a. s. je uvedený v prílohách.</w:t>
      </w:r>
    </w:p>
    <w:p w:rsidR="008A38D3" w:rsidRPr="008A38D3" w:rsidRDefault="008A38D3" w:rsidP="008A38D3">
      <w:pPr>
        <w:spacing w:before="120"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Od 1. januára 2011 do 31. októbra 2011 vydala Sociálna poisťovňa spolu 1 372 rozhodnutí o </w:t>
      </w:r>
      <w:r w:rsidRPr="008A38D3">
        <w:rPr>
          <w:rFonts w:ascii="Arial" w:hAnsi="Arial" w:cs="Arial"/>
          <w:i/>
          <w:szCs w:val="20"/>
        </w:rPr>
        <w:t>povolení splátok dlžných súm</w:t>
      </w:r>
      <w:r w:rsidRPr="008A38D3">
        <w:rPr>
          <w:rFonts w:ascii="Arial" w:hAnsi="Arial" w:cs="Arial"/>
          <w:szCs w:val="20"/>
        </w:rPr>
        <w:t xml:space="preserve"> v celkovom objeme 9 291 tis. Eur. </w:t>
      </w:r>
      <w:r w:rsidRPr="008A38D3">
        <w:rPr>
          <w:rFonts w:ascii="Arial" w:hAnsi="Arial" w:cs="Arial"/>
          <w:szCs w:val="20"/>
        </w:rPr>
        <w:lastRenderedPageBreak/>
        <w:t>Z toho úspešne ukončených splátkových kalendárov (100% úhrada) bolo 306 s uhradenou sumou 932 tis. Eur. K zrušeniu splátkových kalendárov z dôvodov ich nedodržania došlo v 549 prípadoch na celkovú sumu 5 645 tis. Eur, v ktorých bolo povolené splácanie. Ku dňu zrušenia rozhodnutia bolo uhradené zo sumy povolenej na splácanie v zmysle schváleného splátkového kalendára 445 tis. Eur. Naďalej aktívnych splátkových kalendárov je 517 na celkový objem pohľadávok 2 714 tis. Eur. Z aktívnych splátkových kalendárov povolených v roku 2011 bolo do 31. októbra 2011 uhradených 1 004 tis. Eur. Celkovo bolo od 1. januára 2011 do 31. októbra 2011 uhradených na základe rozhodnutí o povolení splátok dlžných súm 2 381 tis. Eur. Prehľad vývoja povolení splátok dlžných súm v roku 2011 je uvedený v prílohe.</w:t>
      </w:r>
    </w:p>
    <w:p w:rsidR="008A38D3" w:rsidRPr="008A38D3" w:rsidRDefault="008A38D3" w:rsidP="008A38D3">
      <w:pPr>
        <w:spacing w:before="120" w:after="120"/>
        <w:ind w:firstLine="540"/>
        <w:jc w:val="both"/>
        <w:rPr>
          <w:rFonts w:ascii="Arial" w:hAnsi="Arial" w:cs="Arial"/>
          <w:color w:val="000000"/>
          <w:szCs w:val="20"/>
        </w:rPr>
      </w:pPr>
      <w:r w:rsidRPr="008A38D3">
        <w:rPr>
          <w:rFonts w:ascii="Arial" w:hAnsi="Arial" w:cs="Arial"/>
          <w:color w:val="000000"/>
          <w:szCs w:val="20"/>
        </w:rPr>
        <w:t xml:space="preserve">Celkový objem pohľadávok na neuhradenom poistnom (ďalej len "pohľadávka") Sociálnej poisťovne evidovaných voči </w:t>
      </w:r>
      <w:r w:rsidRPr="008A38D3">
        <w:rPr>
          <w:rFonts w:ascii="Arial" w:hAnsi="Arial" w:cs="Arial"/>
          <w:i/>
          <w:color w:val="000000"/>
          <w:szCs w:val="20"/>
        </w:rPr>
        <w:t>sledovaným zdravotníckym zariadeniam v pôsobnosti MZ SR a transformovaným zdravotníckym zariadeniam</w:t>
      </w:r>
      <w:r w:rsidRPr="008A38D3">
        <w:rPr>
          <w:rFonts w:ascii="Arial" w:hAnsi="Arial" w:cs="Arial"/>
          <w:color w:val="000000"/>
          <w:szCs w:val="20"/>
        </w:rPr>
        <w:t xml:space="preserve"> dosiahol k 31. októbru 2011 sumu 16 577 tis. Eur. Objem pohľadávok evidovaný k 31. októbru 2011 v porovnaní s objemom pohľadávok k 30. septembru 2011 zaznamenal pokles o 58 082 tis. Eur. </w:t>
      </w:r>
      <w:r w:rsidRPr="008A38D3">
        <w:rPr>
          <w:rFonts w:ascii="Arial" w:hAnsi="Arial" w:cs="Arial"/>
          <w:szCs w:val="20"/>
        </w:rPr>
        <w:t>Vývoj pohľadávok voči zdravotníckym zariadeniam je uvedený v prílohe.</w:t>
      </w:r>
      <w:r w:rsidRPr="008A38D3">
        <w:rPr>
          <w:rFonts w:ascii="Arial" w:hAnsi="Arial" w:cs="Arial"/>
          <w:color w:val="000000"/>
          <w:szCs w:val="20"/>
        </w:rPr>
        <w:t xml:space="preserve"> </w:t>
      </w:r>
    </w:p>
    <w:p w:rsidR="008A38D3" w:rsidRPr="008A38D3" w:rsidRDefault="008A38D3" w:rsidP="008A38D3">
      <w:pPr>
        <w:spacing w:before="120" w:after="120"/>
        <w:ind w:firstLine="539"/>
        <w:jc w:val="both"/>
        <w:rPr>
          <w:rFonts w:ascii="Arial" w:hAnsi="Arial" w:cs="Arial"/>
          <w:color w:val="000000"/>
          <w:szCs w:val="20"/>
        </w:rPr>
      </w:pPr>
      <w:r w:rsidRPr="008A38D3">
        <w:rPr>
          <w:rFonts w:ascii="Arial" w:hAnsi="Arial" w:cs="Arial"/>
          <w:i/>
          <w:color w:val="000000"/>
          <w:szCs w:val="20"/>
        </w:rPr>
        <w:t>Zdravotnícke zariadenia v pôsobnosti MZ SR</w:t>
      </w:r>
      <w:r w:rsidRPr="008A38D3">
        <w:rPr>
          <w:rFonts w:ascii="Arial" w:hAnsi="Arial" w:cs="Arial"/>
          <w:color w:val="000000"/>
          <w:szCs w:val="20"/>
        </w:rPr>
        <w:t xml:space="preserve"> nevykazovali k 31. októbru 2011 pohľadávky na poistnom. V porovnaní s predchádzajúcim mesiacom sa pohľadávky voči týmto zdravotníckym zariadeniam znížili o 58 525 tis. Eur. </w:t>
      </w:r>
    </w:p>
    <w:p w:rsidR="008A38D3" w:rsidRPr="008A38D3" w:rsidRDefault="008A38D3" w:rsidP="008A38D3">
      <w:pPr>
        <w:spacing w:before="120" w:after="120"/>
        <w:ind w:firstLine="540"/>
        <w:jc w:val="both"/>
        <w:rPr>
          <w:rFonts w:ascii="Arial" w:hAnsi="Arial" w:cs="Arial"/>
          <w:color w:val="000000"/>
          <w:szCs w:val="20"/>
        </w:rPr>
      </w:pPr>
      <w:r w:rsidRPr="008A38D3">
        <w:rPr>
          <w:rFonts w:ascii="Arial" w:hAnsi="Arial" w:cs="Arial"/>
          <w:color w:val="000000"/>
          <w:szCs w:val="20"/>
        </w:rPr>
        <w:t xml:space="preserve">Voči </w:t>
      </w:r>
      <w:r w:rsidRPr="008A38D3">
        <w:rPr>
          <w:rFonts w:ascii="Arial" w:hAnsi="Arial" w:cs="Arial"/>
          <w:i/>
          <w:color w:val="000000"/>
          <w:szCs w:val="20"/>
        </w:rPr>
        <w:t>transformovaným zdravotníckym zariadeniam</w:t>
      </w:r>
      <w:r w:rsidRPr="008A38D3">
        <w:rPr>
          <w:rFonts w:ascii="Arial" w:hAnsi="Arial" w:cs="Arial"/>
          <w:color w:val="000000"/>
          <w:szCs w:val="20"/>
        </w:rPr>
        <w:t xml:space="preserve"> eviduje Sociálna poisťovňa k 31. októbru 2011 pohľadávky vo výške 16 577 tis. Eur. V porovnaní so stavom pohľadávok s predchádzajúcim mesiacom sa pohľadávky voči týmto zdravotníckym zariadeniam zvýšili o 443 tis. Eur. Nárast pohľadávok z titulu neplatenia mesačných odvodov v súčasnosti evidujeme pri 9 transformovaných zdravotníckych zariadeniach a to Nemocnici s poliklinikou v Považskej Bystrici, Nemocnici s poliklinikou Prievidza so sídlom v Bojniciach, Nemocnici s poliklinikou sv. Barbory Rožňava, a. s., Nemocnici s poliklinikou Myjava, Nemocnici s poliklinikou Ilava, n. o., Nemocnici s poliklinikou, n. o., Revúca, Dolnooravskej nemocnici s poliklinikou MUDr. L. N. </w:t>
      </w:r>
      <w:proofErr w:type="spellStart"/>
      <w:r w:rsidRPr="008A38D3">
        <w:rPr>
          <w:rFonts w:ascii="Arial" w:hAnsi="Arial" w:cs="Arial"/>
          <w:color w:val="000000"/>
          <w:szCs w:val="20"/>
        </w:rPr>
        <w:t>Jégeho</w:t>
      </w:r>
      <w:proofErr w:type="spellEnd"/>
      <w:r w:rsidRPr="008A38D3">
        <w:rPr>
          <w:rFonts w:ascii="Arial" w:hAnsi="Arial" w:cs="Arial"/>
          <w:color w:val="000000"/>
          <w:szCs w:val="20"/>
        </w:rPr>
        <w:t xml:space="preserve"> Dolný Kubín, Nemocnici s poliklinikou Trebišov a. s. a Vranovskej nemocnici, n. o., Vranov nad Topľou. </w:t>
      </w:r>
    </w:p>
    <w:p w:rsidR="008A38D3" w:rsidRPr="008A38D3" w:rsidRDefault="008A38D3" w:rsidP="008A38D3">
      <w:pPr>
        <w:tabs>
          <w:tab w:val="left" w:pos="5760"/>
        </w:tabs>
        <w:spacing w:before="120" w:after="120"/>
        <w:ind w:firstLine="540"/>
        <w:jc w:val="both"/>
        <w:rPr>
          <w:rFonts w:ascii="Arial" w:hAnsi="Arial" w:cs="Arial"/>
          <w:color w:val="000000"/>
          <w:szCs w:val="20"/>
        </w:rPr>
      </w:pPr>
      <w:r w:rsidRPr="008A38D3">
        <w:rPr>
          <w:rFonts w:ascii="Arial" w:hAnsi="Arial" w:cs="Arial"/>
          <w:color w:val="000000"/>
          <w:szCs w:val="20"/>
        </w:rPr>
        <w:t xml:space="preserve">Sociálna poisťovňa eviduje k 31. októbru 2011 celkovo 16 sledovaných zdravotníckych zariadení s pohľadávkou. </w:t>
      </w:r>
    </w:p>
    <w:p w:rsidR="008A38D3" w:rsidRPr="008A38D3" w:rsidRDefault="008A38D3" w:rsidP="008A38D3">
      <w:pPr>
        <w:tabs>
          <w:tab w:val="left" w:pos="709"/>
        </w:tabs>
        <w:spacing w:before="240" w:after="120"/>
        <w:jc w:val="both"/>
        <w:rPr>
          <w:rFonts w:ascii="Arial" w:hAnsi="Arial"/>
          <w:b/>
          <w:sz w:val="28"/>
          <w:szCs w:val="20"/>
        </w:rPr>
      </w:pPr>
      <w:r w:rsidRPr="008A38D3">
        <w:rPr>
          <w:rFonts w:ascii="Arial" w:hAnsi="Arial"/>
          <w:b/>
          <w:sz w:val="28"/>
          <w:szCs w:val="20"/>
        </w:rPr>
        <w:t>3.</w:t>
      </w:r>
      <w:r w:rsidRPr="008A38D3">
        <w:rPr>
          <w:rFonts w:ascii="Arial" w:hAnsi="Arial"/>
          <w:b/>
          <w:sz w:val="28"/>
          <w:szCs w:val="20"/>
        </w:rPr>
        <w:tab/>
        <w:t>Výdavky (náklady) Sociálnej poisťovne</w:t>
      </w:r>
    </w:p>
    <w:p w:rsidR="008A38D3" w:rsidRDefault="008A38D3" w:rsidP="008A38D3">
      <w:pPr>
        <w:tabs>
          <w:tab w:val="decimal" w:pos="8222"/>
        </w:tabs>
        <w:spacing w:before="240" w:after="120"/>
        <w:ind w:firstLine="709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Výdavky (náklady) Sociálnej poisťovne v mesiacoch január až október 2011 boli takéto:</w:t>
      </w:r>
    </w:p>
    <w:p w:rsidR="008A38D3" w:rsidRDefault="008A38D3" w:rsidP="008A38D3">
      <w:pPr>
        <w:tabs>
          <w:tab w:val="decimal" w:pos="8222"/>
        </w:tabs>
        <w:spacing w:before="240" w:after="120"/>
        <w:ind w:firstLine="709"/>
        <w:jc w:val="both"/>
        <w:rPr>
          <w:rFonts w:ascii="Arial" w:hAnsi="Arial"/>
          <w:szCs w:val="20"/>
        </w:rPr>
      </w:pPr>
    </w:p>
    <w:p w:rsidR="008A38D3" w:rsidRDefault="008A38D3" w:rsidP="008A38D3">
      <w:pPr>
        <w:tabs>
          <w:tab w:val="decimal" w:pos="8222"/>
        </w:tabs>
        <w:spacing w:before="240" w:after="120"/>
        <w:ind w:firstLine="709"/>
        <w:jc w:val="both"/>
        <w:rPr>
          <w:rFonts w:ascii="Arial" w:hAnsi="Arial"/>
          <w:szCs w:val="20"/>
        </w:rPr>
      </w:pPr>
    </w:p>
    <w:p w:rsidR="008A38D3" w:rsidRDefault="008A38D3" w:rsidP="008A38D3">
      <w:pPr>
        <w:tabs>
          <w:tab w:val="decimal" w:pos="8222"/>
        </w:tabs>
        <w:spacing w:before="240" w:after="120"/>
        <w:ind w:firstLine="709"/>
        <w:jc w:val="both"/>
        <w:rPr>
          <w:rFonts w:ascii="Arial" w:hAnsi="Arial"/>
          <w:szCs w:val="20"/>
        </w:rPr>
      </w:pPr>
    </w:p>
    <w:p w:rsidR="008A38D3" w:rsidRDefault="008A38D3" w:rsidP="008A38D3">
      <w:pPr>
        <w:tabs>
          <w:tab w:val="decimal" w:pos="8222"/>
        </w:tabs>
        <w:spacing w:before="240" w:after="120"/>
        <w:ind w:firstLine="709"/>
        <w:jc w:val="both"/>
        <w:rPr>
          <w:rFonts w:ascii="Arial" w:hAnsi="Arial"/>
          <w:szCs w:val="20"/>
        </w:rPr>
      </w:pPr>
    </w:p>
    <w:p w:rsidR="008A38D3" w:rsidRPr="008A38D3" w:rsidRDefault="008A38D3" w:rsidP="008A38D3">
      <w:pPr>
        <w:tabs>
          <w:tab w:val="decimal" w:pos="8222"/>
        </w:tabs>
        <w:spacing w:before="240" w:after="120"/>
        <w:ind w:firstLine="709"/>
        <w:jc w:val="both"/>
        <w:rPr>
          <w:rFonts w:ascii="Arial" w:hAnsi="Arial"/>
          <w:szCs w:val="20"/>
        </w:rPr>
      </w:pPr>
    </w:p>
    <w:tbl>
      <w:tblPr>
        <w:tblW w:w="9513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76"/>
        <w:gridCol w:w="992"/>
        <w:gridCol w:w="142"/>
        <w:gridCol w:w="1134"/>
        <w:gridCol w:w="1134"/>
        <w:gridCol w:w="850"/>
        <w:gridCol w:w="95"/>
        <w:gridCol w:w="756"/>
        <w:gridCol w:w="189"/>
        <w:gridCol w:w="945"/>
      </w:tblGrid>
      <w:tr w:rsidR="008A38D3" w:rsidRPr="008A38D3" w:rsidTr="00752E8B">
        <w:trPr>
          <w:trHeight w:val="255"/>
        </w:trPr>
        <w:tc>
          <w:tcPr>
            <w:tcW w:w="3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v tis. Eur</w:t>
            </w:r>
          </w:p>
        </w:tc>
      </w:tr>
      <w:tr w:rsidR="008A38D3" w:rsidRPr="008A38D3" w:rsidTr="00752E8B">
        <w:trPr>
          <w:trHeight w:val="450"/>
        </w:trPr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Ukazovateľ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 xml:space="preserve">Upravený rozpočet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 xml:space="preserve">Časový rozpis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Skutočnosť k 31.10. 2011</w:t>
            </w:r>
          </w:p>
        </w:tc>
        <w:tc>
          <w:tcPr>
            <w:tcW w:w="9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% plnenia (3/1)</w:t>
            </w:r>
          </w:p>
        </w:tc>
        <w:tc>
          <w:tcPr>
            <w:tcW w:w="9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% plnenia (3/2)</w:t>
            </w:r>
          </w:p>
        </w:tc>
        <w:tc>
          <w:tcPr>
            <w:tcW w:w="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Rozdiel</w:t>
            </w:r>
            <w:r w:rsidRPr="008A38D3">
              <w:rPr>
                <w:rFonts w:ascii="Arial" w:hAnsi="Arial" w:cs="Arial"/>
                <w:sz w:val="16"/>
                <w:szCs w:val="16"/>
              </w:rPr>
              <w:br/>
              <w:t>(3-2)</w:t>
            </w:r>
          </w:p>
        </w:tc>
      </w:tr>
      <w:tr w:rsidR="008A38D3" w:rsidRPr="008A38D3" w:rsidTr="00752E8B">
        <w:trPr>
          <w:trHeight w:val="255"/>
        </w:trPr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a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A38D3">
              <w:rPr>
                <w:rFonts w:ascii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6</w:t>
            </w:r>
          </w:p>
        </w:tc>
      </w:tr>
      <w:tr w:rsidR="008A38D3" w:rsidRPr="008A38D3" w:rsidTr="00752E8B">
        <w:trPr>
          <w:trHeight w:val="255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Použitie prostriedkov celkom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6 270 715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5 220 629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5 097 959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81,30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97,65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-122 670</w:t>
            </w:r>
          </w:p>
        </w:tc>
      </w:tr>
      <w:tr w:rsidR="008A38D3" w:rsidRPr="008A38D3" w:rsidTr="00752E8B">
        <w:trPr>
          <w:trHeight w:val="255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v tom: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8A38D3" w:rsidRPr="008A38D3" w:rsidTr="00752E8B">
        <w:trPr>
          <w:trHeight w:val="255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 xml:space="preserve"> základný fond nemocenského poistenia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348 521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293 418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316 950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90,94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108,02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23 532</w:t>
            </w:r>
          </w:p>
        </w:tc>
      </w:tr>
      <w:tr w:rsidR="008A38D3" w:rsidRPr="008A38D3" w:rsidTr="00752E8B">
        <w:trPr>
          <w:trHeight w:val="255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základný fond starobného poistenia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4 659 053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3 876 208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3 789 158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81,33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97,75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-87 050</w:t>
            </w:r>
          </w:p>
        </w:tc>
      </w:tr>
      <w:tr w:rsidR="008A38D3" w:rsidRPr="008A38D3" w:rsidTr="00752E8B">
        <w:trPr>
          <w:trHeight w:val="255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základný fond invalidného poistenia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833 612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693 101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701 784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84,19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101,25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8 683</w:t>
            </w:r>
          </w:p>
        </w:tc>
      </w:tr>
      <w:tr w:rsidR="008A38D3" w:rsidRPr="008A38D3" w:rsidTr="00752E8B">
        <w:trPr>
          <w:trHeight w:val="255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základný fond úrazového poistenia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44 024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36 543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36 074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81,94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98,72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-469</w:t>
            </w:r>
          </w:p>
        </w:tc>
      </w:tr>
      <w:tr w:rsidR="008A38D3" w:rsidRPr="008A38D3" w:rsidTr="00752E8B">
        <w:trPr>
          <w:trHeight w:val="255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základný fond garančného poistenia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50 082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41 188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30 604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61,11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74,30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-10 584</w:t>
            </w:r>
          </w:p>
        </w:tc>
      </w:tr>
      <w:tr w:rsidR="008A38D3" w:rsidRPr="008A38D3" w:rsidTr="00752E8B">
        <w:trPr>
          <w:trHeight w:val="255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základný fond poistenia v nezamestnanosti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199 953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167 906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134 864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67,45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80,32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-33 042</w:t>
            </w:r>
          </w:p>
        </w:tc>
      </w:tr>
      <w:tr w:rsidR="008A38D3" w:rsidRPr="008A38D3" w:rsidTr="00752E8B">
        <w:trPr>
          <w:trHeight w:val="255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správny fond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135 470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112 265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88 525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65,35</w:t>
            </w:r>
          </w:p>
        </w:tc>
        <w:tc>
          <w:tcPr>
            <w:tcW w:w="9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78,85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-23 740</w:t>
            </w:r>
          </w:p>
        </w:tc>
      </w:tr>
    </w:tbl>
    <w:p w:rsidR="008A38D3" w:rsidRPr="008A38D3" w:rsidRDefault="008A38D3" w:rsidP="008A38D3">
      <w:pPr>
        <w:tabs>
          <w:tab w:val="decimal" w:pos="8222"/>
        </w:tabs>
        <w:spacing w:before="240" w:after="120"/>
        <w:ind w:firstLine="709"/>
        <w:jc w:val="both"/>
        <w:rPr>
          <w:rFonts w:ascii="Arial" w:hAnsi="Arial"/>
          <w:szCs w:val="20"/>
        </w:rPr>
      </w:pPr>
    </w:p>
    <w:p w:rsidR="008A38D3" w:rsidRPr="008A38D3" w:rsidRDefault="008A38D3" w:rsidP="008A38D3">
      <w:pPr>
        <w:tabs>
          <w:tab w:val="left" w:pos="709"/>
          <w:tab w:val="decimal" w:pos="8222"/>
        </w:tabs>
        <w:spacing w:before="120" w:after="1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b/>
          <w:color w:val="000000"/>
          <w:szCs w:val="20"/>
        </w:rPr>
        <w:t>3.1.</w:t>
      </w:r>
      <w:r w:rsidRPr="008A38D3">
        <w:rPr>
          <w:rFonts w:ascii="Arial" w:hAnsi="Arial"/>
          <w:b/>
          <w:color w:val="000000"/>
          <w:szCs w:val="20"/>
        </w:rPr>
        <w:tab/>
        <w:t>Výdavky základného fondu nemocenského poistenia</w:t>
      </w:r>
      <w:r w:rsidRPr="008A38D3">
        <w:rPr>
          <w:rFonts w:ascii="Arial" w:hAnsi="Arial"/>
          <w:b/>
          <w:color w:val="000000"/>
          <w:szCs w:val="20"/>
        </w:rPr>
        <w:tab/>
        <w:t>316 950</w:t>
      </w:r>
      <w:r w:rsidRPr="008A38D3">
        <w:rPr>
          <w:rFonts w:ascii="Arial" w:hAnsi="Arial"/>
          <w:b/>
          <w:szCs w:val="20"/>
        </w:rPr>
        <w:t> tis. Eur</w:t>
      </w:r>
      <w:r w:rsidRPr="008A38D3">
        <w:rPr>
          <w:rFonts w:ascii="Arial" w:hAnsi="Arial"/>
          <w:szCs w:val="20"/>
        </w:rPr>
        <w:t>,</w:t>
      </w:r>
      <w:r w:rsidRPr="008A38D3">
        <w:rPr>
          <w:rFonts w:ascii="Arial" w:hAnsi="Arial"/>
          <w:b/>
          <w:color w:val="000000"/>
          <w:szCs w:val="20"/>
        </w:rPr>
        <w:br/>
      </w:r>
      <w:r w:rsidRPr="008A38D3">
        <w:rPr>
          <w:rFonts w:ascii="Arial" w:hAnsi="Arial"/>
          <w:color w:val="000000"/>
          <w:szCs w:val="20"/>
        </w:rPr>
        <w:t xml:space="preserve">čo je 90,94 % upraveného </w:t>
      </w:r>
      <w:r w:rsidRPr="008A38D3">
        <w:rPr>
          <w:rFonts w:ascii="Arial" w:hAnsi="Arial"/>
          <w:szCs w:val="20"/>
        </w:rPr>
        <w:t xml:space="preserve">rozpočtu </w:t>
      </w:r>
      <w:r w:rsidRPr="008A38D3">
        <w:rPr>
          <w:rFonts w:ascii="Arial" w:hAnsi="Arial"/>
          <w:color w:val="000000"/>
          <w:szCs w:val="20"/>
        </w:rPr>
        <w:t>vo výške</w:t>
      </w:r>
      <w:r w:rsidRPr="008A38D3">
        <w:rPr>
          <w:rFonts w:ascii="Arial" w:hAnsi="Arial"/>
          <w:color w:val="000000"/>
          <w:szCs w:val="20"/>
        </w:rPr>
        <w:tab/>
        <w:t>348 521 tis. Eur</w:t>
      </w:r>
      <w:r w:rsidRPr="008A38D3">
        <w:rPr>
          <w:rFonts w:ascii="Arial" w:hAnsi="Arial"/>
          <w:szCs w:val="20"/>
        </w:rPr>
        <w:br/>
        <w:t>a 108,02 % časového rozpisu vo výške</w:t>
      </w:r>
      <w:r w:rsidRPr="008A38D3">
        <w:rPr>
          <w:rFonts w:ascii="Arial" w:hAnsi="Arial"/>
          <w:szCs w:val="20"/>
        </w:rPr>
        <w:tab/>
        <w:t>293 418 tis. Eur</w:t>
      </w:r>
      <w:r w:rsidRPr="008A38D3">
        <w:rPr>
          <w:rFonts w:ascii="Arial" w:hAnsi="Arial"/>
          <w:color w:val="000000"/>
          <w:szCs w:val="20"/>
        </w:rPr>
        <w:t>.</w:t>
      </w:r>
    </w:p>
    <w:p w:rsidR="008A38D3" w:rsidRPr="008A38D3" w:rsidRDefault="008A38D3" w:rsidP="008A38D3">
      <w:pPr>
        <w:spacing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V mesiacoch január až október 2011 boli výdavky základného fondu nemocenského poistenia v porovnaní s časovým rozpisom a v porovnaní s rovnakým obdobím roka 2010 takéto:</w:t>
      </w:r>
    </w:p>
    <w:tbl>
      <w:tblPr>
        <w:tblW w:w="9501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32"/>
        <w:gridCol w:w="1569"/>
        <w:gridCol w:w="1160"/>
        <w:gridCol w:w="1160"/>
        <w:gridCol w:w="820"/>
        <w:gridCol w:w="820"/>
        <w:gridCol w:w="920"/>
        <w:gridCol w:w="920"/>
      </w:tblGrid>
      <w:tr w:rsidR="008A38D3" w:rsidRPr="008A38D3" w:rsidTr="00752E8B">
        <w:trPr>
          <w:trHeight w:val="255"/>
        </w:trPr>
        <w:tc>
          <w:tcPr>
            <w:tcW w:w="21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v tis. Eur</w:t>
            </w:r>
          </w:p>
        </w:tc>
      </w:tr>
      <w:tr w:rsidR="008A38D3" w:rsidRPr="008A38D3" w:rsidTr="00752E8B">
        <w:trPr>
          <w:trHeight w:val="255"/>
        </w:trPr>
        <w:tc>
          <w:tcPr>
            <w:tcW w:w="21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Druh dávky</w:t>
            </w:r>
          </w:p>
        </w:tc>
        <w:tc>
          <w:tcPr>
            <w:tcW w:w="38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Január až október</w:t>
            </w:r>
          </w:p>
        </w:tc>
        <w:tc>
          <w:tcPr>
            <w:tcW w:w="16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Rozdiel</w:t>
            </w:r>
          </w:p>
        </w:tc>
        <w:tc>
          <w:tcPr>
            <w:tcW w:w="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% plnenia  (3/1)</w:t>
            </w:r>
          </w:p>
        </w:tc>
        <w:tc>
          <w:tcPr>
            <w:tcW w:w="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Index (3/2) v %</w:t>
            </w:r>
          </w:p>
        </w:tc>
      </w:tr>
      <w:tr w:rsidR="008A38D3" w:rsidRPr="008A38D3" w:rsidTr="00752E8B">
        <w:trPr>
          <w:trHeight w:val="510"/>
        </w:trPr>
        <w:tc>
          <w:tcPr>
            <w:tcW w:w="21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časový rozpis 2011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skutočnosť 2010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skutočnosť 2011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(3-1)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(3-2)</w:t>
            </w:r>
          </w:p>
        </w:tc>
        <w:tc>
          <w:tcPr>
            <w:tcW w:w="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38D3" w:rsidRPr="008A38D3" w:rsidTr="00752E8B">
        <w:trPr>
          <w:trHeight w:val="255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a</w:t>
            </w:r>
          </w:p>
        </w:tc>
        <w:tc>
          <w:tcPr>
            <w:tcW w:w="1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</w:t>
            </w:r>
          </w:p>
        </w:tc>
      </w:tr>
      <w:tr w:rsidR="008A38D3" w:rsidRPr="008A38D3" w:rsidTr="00752E8B">
        <w:trPr>
          <w:trHeight w:val="255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nemocenské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207 586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212 885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220 571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12 985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7 686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106,26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103,61</w:t>
            </w:r>
          </w:p>
        </w:tc>
      </w:tr>
      <w:tr w:rsidR="008A38D3" w:rsidRPr="008A38D3" w:rsidTr="00752E8B">
        <w:trPr>
          <w:trHeight w:val="255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 xml:space="preserve">ošetrovné 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7 699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7 215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8 498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799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1 283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110,38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117,78</w:t>
            </w:r>
          </w:p>
        </w:tc>
      </w:tr>
      <w:tr w:rsidR="008A38D3" w:rsidRPr="008A38D3" w:rsidTr="00752E8B">
        <w:trPr>
          <w:trHeight w:val="255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vyrovnávacia dávka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-12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79,66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111,90</w:t>
            </w:r>
          </w:p>
        </w:tc>
      </w:tr>
      <w:tr w:rsidR="008A38D3" w:rsidRPr="008A38D3" w:rsidTr="00752E8B">
        <w:trPr>
          <w:trHeight w:val="255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materské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78 074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63 416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87 840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9 766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24 424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112,51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138,51</w:t>
            </w:r>
          </w:p>
        </w:tc>
      </w:tr>
      <w:tr w:rsidR="008A38D3" w:rsidRPr="008A38D3" w:rsidTr="00752E8B">
        <w:trPr>
          <w:trHeight w:val="255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zúčtovanie dávok § 112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0,00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75,00</w:t>
            </w:r>
          </w:p>
        </w:tc>
      </w:tr>
      <w:tr w:rsidR="008A38D3" w:rsidRPr="008A38D3" w:rsidTr="00752E8B">
        <w:trPr>
          <w:trHeight w:val="255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Celkom výdavky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293 418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283 550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316 950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23 532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33 400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108,02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111,78</w:t>
            </w:r>
          </w:p>
        </w:tc>
      </w:tr>
    </w:tbl>
    <w:p w:rsidR="008A38D3" w:rsidRPr="008A38D3" w:rsidRDefault="008A38D3" w:rsidP="008A38D3">
      <w:pPr>
        <w:spacing w:after="120"/>
        <w:ind w:firstLine="720"/>
        <w:jc w:val="both"/>
        <w:rPr>
          <w:rFonts w:ascii="Arial" w:hAnsi="Arial"/>
          <w:szCs w:val="20"/>
        </w:rPr>
      </w:pPr>
    </w:p>
    <w:p w:rsidR="008A38D3" w:rsidRPr="008A38D3" w:rsidRDefault="008A38D3" w:rsidP="008A38D3">
      <w:pPr>
        <w:spacing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 xml:space="preserve">Na výšku výdavkov na nemocenské dávky mal vplyv nárast počtu prípadov dávky nemocenské a ošetrovné a nárast priemernej mesačnej výšky dávky materské, oproti predpokladu zapracovanom v rozpočte. </w:t>
      </w:r>
      <w:r w:rsidRPr="008A38D3">
        <w:rPr>
          <w:rFonts w:ascii="Arial" w:hAnsi="Arial" w:cs="Arial"/>
        </w:rPr>
        <w:t>Vývoj ukazovateľov bol takýto:</w:t>
      </w:r>
    </w:p>
    <w:p w:rsidR="008A38D3" w:rsidRPr="008A38D3" w:rsidRDefault="008A38D3" w:rsidP="008A38D3">
      <w:pPr>
        <w:numPr>
          <w:ilvl w:val="0"/>
          <w:numId w:val="17"/>
        </w:numPr>
        <w:spacing w:after="120"/>
        <w:ind w:hanging="720"/>
        <w:contextualSpacing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priemerný mesačný počet prípadov dávky:</w:t>
      </w:r>
    </w:p>
    <w:tbl>
      <w:tblPr>
        <w:tblW w:w="81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00"/>
        <w:gridCol w:w="1160"/>
        <w:gridCol w:w="1160"/>
        <w:gridCol w:w="1160"/>
        <w:gridCol w:w="820"/>
        <w:gridCol w:w="820"/>
        <w:gridCol w:w="920"/>
      </w:tblGrid>
      <w:tr w:rsidR="008A38D3" w:rsidRPr="008A38D3" w:rsidTr="00752E8B">
        <w:trPr>
          <w:trHeight w:val="255"/>
        </w:trPr>
        <w:tc>
          <w:tcPr>
            <w:tcW w:w="21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Druh dávky</w:t>
            </w:r>
          </w:p>
        </w:tc>
        <w:tc>
          <w:tcPr>
            <w:tcW w:w="11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Rozpočet</w:t>
            </w:r>
          </w:p>
        </w:tc>
        <w:tc>
          <w:tcPr>
            <w:tcW w:w="23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Január až október</w:t>
            </w:r>
          </w:p>
        </w:tc>
        <w:tc>
          <w:tcPr>
            <w:tcW w:w="16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Rozdiel</w:t>
            </w:r>
          </w:p>
        </w:tc>
        <w:tc>
          <w:tcPr>
            <w:tcW w:w="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Index (3/2) v %</w:t>
            </w:r>
          </w:p>
        </w:tc>
      </w:tr>
      <w:tr w:rsidR="008A38D3" w:rsidRPr="008A38D3" w:rsidTr="00752E8B">
        <w:trPr>
          <w:trHeight w:val="510"/>
        </w:trPr>
        <w:tc>
          <w:tcPr>
            <w:tcW w:w="21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skutočnosť 2010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skutočnosť 2011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(3-1)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(3-2)</w:t>
            </w:r>
          </w:p>
        </w:tc>
        <w:tc>
          <w:tcPr>
            <w:tcW w:w="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38D3" w:rsidRPr="008A38D3" w:rsidTr="00752E8B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a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</w:t>
            </w:r>
          </w:p>
        </w:tc>
      </w:tr>
      <w:tr w:rsidR="008A38D3" w:rsidRPr="008A38D3" w:rsidTr="00752E8B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nemocenské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110 691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106 140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105 901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-4 790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-239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99,77</w:t>
            </w:r>
          </w:p>
        </w:tc>
      </w:tr>
      <w:tr w:rsidR="008A38D3" w:rsidRPr="008A38D3" w:rsidTr="00752E8B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 xml:space="preserve">ošetrovné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10 908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10 242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11 375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467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1 133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111,06</w:t>
            </w:r>
          </w:p>
        </w:tc>
      </w:tr>
      <w:tr w:rsidR="008A38D3" w:rsidRPr="008A38D3" w:rsidTr="00752E8B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vyrovnávacia dávka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85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94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110,59</w:t>
            </w:r>
          </w:p>
        </w:tc>
      </w:tr>
      <w:tr w:rsidR="008A38D3" w:rsidRPr="008A38D3" w:rsidTr="00752E8B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materské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23 235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19 991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23 021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-214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3 030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115,16</w:t>
            </w:r>
          </w:p>
        </w:tc>
      </w:tr>
      <w:tr w:rsidR="008A38D3" w:rsidRPr="008A38D3" w:rsidTr="00752E8B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 xml:space="preserve">Celkom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144 934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136 458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140 391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-4 543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3 933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102,88</w:t>
            </w:r>
          </w:p>
        </w:tc>
      </w:tr>
    </w:tbl>
    <w:p w:rsidR="008A38D3" w:rsidRPr="008A38D3" w:rsidRDefault="008A38D3" w:rsidP="008A38D3">
      <w:pPr>
        <w:spacing w:after="120"/>
        <w:ind w:left="720"/>
        <w:contextualSpacing/>
        <w:jc w:val="both"/>
        <w:rPr>
          <w:rFonts w:ascii="Arial" w:hAnsi="Arial"/>
          <w:szCs w:val="20"/>
        </w:rPr>
      </w:pPr>
    </w:p>
    <w:p w:rsidR="008A38D3" w:rsidRPr="008A38D3" w:rsidRDefault="008A38D3" w:rsidP="008A38D3">
      <w:pPr>
        <w:numPr>
          <w:ilvl w:val="0"/>
          <w:numId w:val="17"/>
        </w:numPr>
        <w:spacing w:before="240" w:after="120"/>
        <w:ind w:hanging="720"/>
        <w:contextualSpacing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priemerná mesačná výška dávky:</w:t>
      </w:r>
    </w:p>
    <w:tbl>
      <w:tblPr>
        <w:tblW w:w="81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00"/>
        <w:gridCol w:w="1160"/>
        <w:gridCol w:w="1160"/>
        <w:gridCol w:w="1160"/>
        <w:gridCol w:w="820"/>
        <w:gridCol w:w="820"/>
        <w:gridCol w:w="920"/>
      </w:tblGrid>
      <w:tr w:rsidR="008A38D3" w:rsidRPr="008A38D3" w:rsidTr="00752E8B">
        <w:trPr>
          <w:trHeight w:val="255"/>
        </w:trPr>
        <w:tc>
          <w:tcPr>
            <w:tcW w:w="2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v Eur</w:t>
            </w:r>
          </w:p>
        </w:tc>
      </w:tr>
      <w:tr w:rsidR="008A38D3" w:rsidRPr="008A38D3" w:rsidTr="00752E8B">
        <w:trPr>
          <w:trHeight w:val="255"/>
        </w:trPr>
        <w:tc>
          <w:tcPr>
            <w:tcW w:w="21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Druh dávky</w:t>
            </w:r>
          </w:p>
        </w:tc>
        <w:tc>
          <w:tcPr>
            <w:tcW w:w="11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Rozpočet</w:t>
            </w:r>
          </w:p>
        </w:tc>
        <w:tc>
          <w:tcPr>
            <w:tcW w:w="23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Január až október</w:t>
            </w:r>
          </w:p>
        </w:tc>
        <w:tc>
          <w:tcPr>
            <w:tcW w:w="16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Rozdiel</w:t>
            </w:r>
          </w:p>
        </w:tc>
        <w:tc>
          <w:tcPr>
            <w:tcW w:w="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Index (3/2) v %</w:t>
            </w:r>
          </w:p>
        </w:tc>
      </w:tr>
      <w:tr w:rsidR="008A38D3" w:rsidRPr="008A38D3" w:rsidTr="00752E8B">
        <w:trPr>
          <w:trHeight w:val="510"/>
        </w:trPr>
        <w:tc>
          <w:tcPr>
            <w:tcW w:w="21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skutočnosť 2010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skutočnosť 2011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(3-1)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(3-2)</w:t>
            </w:r>
          </w:p>
        </w:tc>
        <w:tc>
          <w:tcPr>
            <w:tcW w:w="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38D3" w:rsidRPr="008A38D3" w:rsidTr="00752E8B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a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</w:t>
            </w:r>
          </w:p>
        </w:tc>
      </w:tr>
      <w:tr w:rsidR="008A38D3" w:rsidRPr="008A38D3" w:rsidTr="00752E8B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nemocenské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208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103,63</w:t>
            </w:r>
          </w:p>
        </w:tc>
      </w:tr>
      <w:tr w:rsidR="008A38D3" w:rsidRPr="008A38D3" w:rsidTr="00752E8B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 xml:space="preserve">ošetrovné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105,23</w:t>
            </w:r>
          </w:p>
        </w:tc>
      </w:tr>
      <w:tr w:rsidR="008A38D3" w:rsidRPr="008A38D3" w:rsidTr="00752E8B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vyrovnávacia dávka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104,08</w:t>
            </w:r>
          </w:p>
        </w:tc>
      </w:tr>
      <w:tr w:rsidR="008A38D3" w:rsidRPr="008A38D3" w:rsidTr="00752E8B">
        <w:trPr>
          <w:trHeight w:val="255"/>
        </w:trPr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materské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326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317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382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120,50</w:t>
            </w:r>
          </w:p>
        </w:tc>
      </w:tr>
    </w:tbl>
    <w:p w:rsidR="008A38D3" w:rsidRPr="008A38D3" w:rsidRDefault="008A38D3" w:rsidP="008A38D3">
      <w:pPr>
        <w:ind w:left="720"/>
        <w:contextualSpacing/>
        <w:rPr>
          <w:rFonts w:ascii="Arial" w:hAnsi="Arial"/>
          <w:szCs w:val="20"/>
        </w:rPr>
      </w:pPr>
    </w:p>
    <w:p w:rsidR="008A38D3" w:rsidRPr="008A38D3" w:rsidRDefault="008A38D3" w:rsidP="008A38D3">
      <w:pPr>
        <w:tabs>
          <w:tab w:val="left" w:pos="709"/>
          <w:tab w:val="decimal" w:pos="8222"/>
        </w:tabs>
        <w:spacing w:before="240" w:after="120"/>
        <w:rPr>
          <w:rFonts w:ascii="Arial" w:hAnsi="Arial"/>
          <w:b/>
          <w:szCs w:val="20"/>
        </w:rPr>
      </w:pPr>
      <w:r w:rsidRPr="008A38D3">
        <w:rPr>
          <w:rFonts w:ascii="Arial" w:hAnsi="Arial"/>
          <w:b/>
          <w:color w:val="000000" w:themeColor="text1"/>
          <w:szCs w:val="20"/>
        </w:rPr>
        <w:t>3.2.</w:t>
      </w:r>
      <w:r w:rsidRPr="008A38D3">
        <w:rPr>
          <w:rFonts w:ascii="Arial" w:hAnsi="Arial"/>
          <w:b/>
          <w:color w:val="000000" w:themeColor="text1"/>
          <w:szCs w:val="20"/>
        </w:rPr>
        <w:tab/>
        <w:t>Výdavky z dôchodkového poistenia</w:t>
      </w:r>
      <w:r w:rsidRPr="008A38D3">
        <w:rPr>
          <w:rFonts w:ascii="Arial" w:hAnsi="Arial"/>
          <w:b/>
          <w:color w:val="000000" w:themeColor="text1"/>
          <w:szCs w:val="20"/>
        </w:rPr>
        <w:tab/>
      </w:r>
      <w:r w:rsidRPr="008A38D3">
        <w:rPr>
          <w:rFonts w:ascii="Arial" w:hAnsi="Arial"/>
          <w:b/>
          <w:szCs w:val="20"/>
        </w:rPr>
        <w:t>4 490 942 tis. Eur</w:t>
      </w:r>
      <w:r w:rsidRPr="008A38D3">
        <w:rPr>
          <w:rFonts w:ascii="Arial" w:hAnsi="Arial"/>
          <w:szCs w:val="20"/>
        </w:rPr>
        <w:t>,</w:t>
      </w:r>
      <w:r w:rsidRPr="008A38D3">
        <w:rPr>
          <w:rFonts w:ascii="Arial" w:hAnsi="Arial"/>
          <w:szCs w:val="20"/>
        </w:rPr>
        <w:br/>
        <w:t>čo je 81,76 % upraveného rozpočtu vo výške</w:t>
      </w:r>
      <w:r w:rsidRPr="008A38D3">
        <w:rPr>
          <w:rFonts w:ascii="Arial" w:hAnsi="Arial"/>
          <w:szCs w:val="20"/>
        </w:rPr>
        <w:tab/>
        <w:t>5 492 665 tis. Eur,</w:t>
      </w:r>
      <w:r w:rsidRPr="008A38D3">
        <w:rPr>
          <w:rFonts w:ascii="Arial" w:hAnsi="Arial"/>
          <w:szCs w:val="20"/>
        </w:rPr>
        <w:br/>
        <w:t>a 98,28 % časového rozpisu vo výške</w:t>
      </w:r>
      <w:r w:rsidRPr="008A38D3">
        <w:rPr>
          <w:rFonts w:ascii="Arial" w:hAnsi="Arial"/>
          <w:szCs w:val="20"/>
        </w:rPr>
        <w:tab/>
        <w:t>4 569 309 tis. Eur,</w:t>
      </w:r>
    </w:p>
    <w:p w:rsidR="008A38D3" w:rsidRPr="008A38D3" w:rsidRDefault="008A38D3" w:rsidP="008A38D3">
      <w:pPr>
        <w:tabs>
          <w:tab w:val="left" w:pos="709"/>
          <w:tab w:val="decimal" w:pos="8222"/>
        </w:tabs>
        <w:spacing w:after="120"/>
        <w:rPr>
          <w:rFonts w:ascii="Arial" w:hAnsi="Arial"/>
          <w:szCs w:val="20"/>
        </w:rPr>
      </w:pPr>
      <w:r w:rsidRPr="008A38D3">
        <w:rPr>
          <w:rFonts w:ascii="Arial" w:hAnsi="Arial"/>
          <w:b/>
          <w:szCs w:val="20"/>
        </w:rPr>
        <w:t>Výdavky základného fondu starobného poistenia</w:t>
      </w:r>
      <w:r w:rsidRPr="008A38D3">
        <w:rPr>
          <w:rFonts w:ascii="Arial" w:hAnsi="Arial"/>
          <w:b/>
          <w:szCs w:val="20"/>
        </w:rPr>
        <w:tab/>
        <w:t>3 789 158</w:t>
      </w:r>
      <w:r w:rsidRPr="008A38D3">
        <w:rPr>
          <w:rFonts w:ascii="Arial" w:hAnsi="Arial"/>
          <w:szCs w:val="20"/>
        </w:rPr>
        <w:t> </w:t>
      </w:r>
      <w:r w:rsidRPr="008A38D3">
        <w:rPr>
          <w:rFonts w:ascii="Arial" w:hAnsi="Arial"/>
          <w:b/>
          <w:szCs w:val="20"/>
        </w:rPr>
        <w:t>tis. Eur</w:t>
      </w:r>
      <w:r w:rsidRPr="008A38D3">
        <w:rPr>
          <w:rFonts w:ascii="Arial" w:hAnsi="Arial"/>
          <w:szCs w:val="20"/>
        </w:rPr>
        <w:t>,</w:t>
      </w:r>
      <w:r w:rsidRPr="008A38D3">
        <w:rPr>
          <w:rFonts w:ascii="Arial" w:hAnsi="Arial"/>
          <w:szCs w:val="20"/>
        </w:rPr>
        <w:br/>
        <w:t>čo je 81,33 % upraveného rozpočtu vo výške</w:t>
      </w:r>
      <w:r w:rsidRPr="008A38D3">
        <w:rPr>
          <w:rFonts w:ascii="Arial" w:hAnsi="Arial"/>
          <w:szCs w:val="20"/>
        </w:rPr>
        <w:tab/>
        <w:t>4 659 053 tis. Eur,</w:t>
      </w:r>
      <w:r w:rsidRPr="008A38D3">
        <w:rPr>
          <w:rFonts w:ascii="Arial" w:hAnsi="Arial"/>
          <w:szCs w:val="20"/>
        </w:rPr>
        <w:br/>
        <w:t>a 97,75 % časového rozpisu vo výške</w:t>
      </w:r>
      <w:r w:rsidRPr="008A38D3">
        <w:rPr>
          <w:rFonts w:ascii="Arial" w:hAnsi="Arial"/>
          <w:szCs w:val="20"/>
        </w:rPr>
        <w:tab/>
        <w:t>3 876 208 tis. Eur, </w:t>
      </w:r>
    </w:p>
    <w:p w:rsidR="008A38D3" w:rsidRPr="008A38D3" w:rsidRDefault="008A38D3" w:rsidP="008A38D3">
      <w:pPr>
        <w:tabs>
          <w:tab w:val="left" w:pos="709"/>
          <w:tab w:val="decimal" w:pos="8222"/>
        </w:tabs>
        <w:spacing w:after="1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b/>
          <w:szCs w:val="20"/>
        </w:rPr>
        <w:t>Výdavky základného fondu invalidného poistenia</w:t>
      </w:r>
      <w:r w:rsidRPr="008A38D3">
        <w:rPr>
          <w:rFonts w:ascii="Arial" w:hAnsi="Arial"/>
          <w:b/>
          <w:szCs w:val="20"/>
        </w:rPr>
        <w:tab/>
        <w:t>701 784</w:t>
      </w:r>
      <w:r w:rsidRPr="008A38D3">
        <w:rPr>
          <w:rFonts w:ascii="Arial" w:hAnsi="Arial"/>
          <w:szCs w:val="20"/>
        </w:rPr>
        <w:t> </w:t>
      </w:r>
      <w:r w:rsidRPr="008A38D3">
        <w:rPr>
          <w:rFonts w:ascii="Arial" w:hAnsi="Arial"/>
          <w:b/>
          <w:szCs w:val="20"/>
        </w:rPr>
        <w:t>tis. Eur</w:t>
      </w:r>
      <w:r w:rsidRPr="008A38D3">
        <w:rPr>
          <w:rFonts w:ascii="Arial" w:hAnsi="Arial"/>
          <w:szCs w:val="20"/>
        </w:rPr>
        <w:t>,</w:t>
      </w:r>
      <w:r w:rsidRPr="008A38D3">
        <w:rPr>
          <w:rFonts w:ascii="Arial" w:hAnsi="Arial"/>
          <w:szCs w:val="20"/>
        </w:rPr>
        <w:br/>
        <w:t>čo je 84,19% rozpočtu vo výške</w:t>
      </w:r>
      <w:r w:rsidRPr="008A38D3">
        <w:rPr>
          <w:rFonts w:ascii="Arial" w:hAnsi="Arial"/>
          <w:szCs w:val="20"/>
        </w:rPr>
        <w:tab/>
        <w:t>833 612 tis. Eur,</w:t>
      </w:r>
      <w:r w:rsidRPr="008A38D3">
        <w:rPr>
          <w:rFonts w:ascii="Arial" w:hAnsi="Arial"/>
          <w:szCs w:val="20"/>
        </w:rPr>
        <w:br/>
        <w:t>a 101,25 % časového rozpisu vo výške</w:t>
      </w:r>
      <w:r w:rsidRPr="008A38D3">
        <w:rPr>
          <w:rFonts w:ascii="Arial" w:hAnsi="Arial"/>
          <w:szCs w:val="20"/>
        </w:rPr>
        <w:tab/>
        <w:t>693 101 tis. Eur.</w:t>
      </w:r>
    </w:p>
    <w:p w:rsidR="008A38D3" w:rsidRPr="008A38D3" w:rsidRDefault="008A38D3" w:rsidP="008A38D3">
      <w:pPr>
        <w:tabs>
          <w:tab w:val="decimal" w:pos="-4500"/>
          <w:tab w:val="left" w:pos="-1418"/>
        </w:tabs>
        <w:spacing w:before="240" w:after="120"/>
        <w:ind w:firstLine="720"/>
        <w:jc w:val="both"/>
        <w:outlineLvl w:val="0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 xml:space="preserve">Čerpanie finančných prostriedkov z dôchodkového poistenia bolo nižšie o 78 367 tis. Eur oproti časovému rozpisu. </w:t>
      </w:r>
    </w:p>
    <w:p w:rsidR="008A38D3" w:rsidRPr="008A38D3" w:rsidRDefault="008A38D3" w:rsidP="008A38D3">
      <w:pPr>
        <w:tabs>
          <w:tab w:val="left" w:pos="-1418"/>
          <w:tab w:val="decimal" w:pos="8222"/>
        </w:tabs>
        <w:spacing w:before="240"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Nižšie, ako rozpočtované výdavky boli v dôchodkoch:</w:t>
      </w:r>
    </w:p>
    <w:p w:rsidR="008A38D3" w:rsidRPr="008A38D3" w:rsidRDefault="008A38D3" w:rsidP="008A38D3">
      <w:pPr>
        <w:numPr>
          <w:ilvl w:val="0"/>
          <w:numId w:val="14"/>
        </w:numPr>
        <w:tabs>
          <w:tab w:val="left" w:pos="-1418"/>
          <w:tab w:val="num" w:pos="360"/>
        </w:tabs>
        <w:spacing w:before="240" w:after="120"/>
        <w:ind w:left="0" w:firstLine="0"/>
        <w:jc w:val="both"/>
        <w:rPr>
          <w:rFonts w:ascii="Arial" w:hAnsi="Arial" w:cs="Arial"/>
          <w:color w:val="000000" w:themeColor="text1"/>
        </w:rPr>
      </w:pPr>
      <w:r w:rsidRPr="008A38D3">
        <w:rPr>
          <w:rFonts w:ascii="Arial" w:hAnsi="Arial"/>
          <w:szCs w:val="20"/>
        </w:rPr>
        <w:t>predčasných starobných</w:t>
      </w:r>
      <w:r w:rsidRPr="008A38D3">
        <w:rPr>
          <w:rFonts w:ascii="Arial" w:hAnsi="Arial"/>
          <w:color w:val="FF0000"/>
          <w:szCs w:val="20"/>
        </w:rPr>
        <w:t xml:space="preserve"> </w:t>
      </w:r>
      <w:r w:rsidRPr="008A38D3">
        <w:rPr>
          <w:rFonts w:ascii="Arial" w:hAnsi="Arial"/>
          <w:szCs w:val="20"/>
        </w:rPr>
        <w:t xml:space="preserve">(o 93 541 tis. Eur), najmä zmenou podmienok nároku na výplatu predčasného starobného dôchodku podľa § 67 ods. 5 zákona o sociálnom poistení (zárobok alebo dôchodok). Na základe uvedenej zmeny 10 498 poberateľov </w:t>
      </w:r>
      <w:r w:rsidRPr="008A38D3">
        <w:rPr>
          <w:rFonts w:ascii="Arial" w:hAnsi="Arial"/>
          <w:color w:val="000000" w:themeColor="text1"/>
          <w:szCs w:val="20"/>
        </w:rPr>
        <w:t xml:space="preserve">predčasného starobného dôchodku sa rozhodlo pozastaviť vyplácanie dôchodku a ostalo naďalej pracovať, čo sa premietlo v znížení výdavkov za hodnotené obdobie o 36 169 tis. Eur. Na nižšom plnení sa podieľa aj nižší počet a nižšia priemerná výška novopriznávaných dôchodkov, </w:t>
      </w:r>
      <w:r w:rsidRPr="008A38D3">
        <w:rPr>
          <w:rFonts w:ascii="Arial" w:hAnsi="Arial" w:cs="Arial"/>
          <w:color w:val="000000" w:themeColor="text1"/>
        </w:rPr>
        <w:t>ako bolo rozpočtované na rok 2011 a vyšší počet ako aj vyššia priemerná výška presunutých predčasných starobných dôchodkov do starobných dôchodkov po dovŕšení dôchodkového veku poberateľa ako bolo rozpočtované,</w:t>
      </w:r>
    </w:p>
    <w:p w:rsidR="008A38D3" w:rsidRPr="008A38D3" w:rsidRDefault="008A38D3" w:rsidP="008A38D3">
      <w:pPr>
        <w:numPr>
          <w:ilvl w:val="0"/>
          <w:numId w:val="14"/>
        </w:numPr>
        <w:tabs>
          <w:tab w:val="left" w:pos="-1418"/>
          <w:tab w:val="num" w:pos="360"/>
          <w:tab w:val="decimal" w:pos="8222"/>
        </w:tabs>
        <w:spacing w:before="120" w:after="120" w:line="276" w:lineRule="auto"/>
        <w:ind w:left="0" w:firstLine="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 xml:space="preserve">vdovských (o 12 910 tis. Eur) a sirotských (o 7 024 tis. Eur) z dôvodu nižšieho počtu vyplácaných dôchodkov </w:t>
      </w:r>
      <w:r w:rsidRPr="008A38D3">
        <w:rPr>
          <w:rFonts w:ascii="Arial" w:hAnsi="Arial" w:cs="Arial"/>
        </w:rPr>
        <w:t>ako bolo rozpočtované na rok 2011.</w:t>
      </w:r>
    </w:p>
    <w:p w:rsidR="008A38D3" w:rsidRPr="008A38D3" w:rsidRDefault="008A38D3" w:rsidP="008A38D3">
      <w:pPr>
        <w:tabs>
          <w:tab w:val="left" w:pos="-1418"/>
          <w:tab w:val="decimal" w:pos="8222"/>
        </w:tabs>
        <w:spacing w:before="240" w:after="120"/>
        <w:ind w:firstLine="709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Vyššie, ako rozpočtované, boli výdavky na dôchodky:</w:t>
      </w:r>
    </w:p>
    <w:p w:rsidR="008A38D3" w:rsidRPr="008A38D3" w:rsidRDefault="008A38D3" w:rsidP="008A38D3">
      <w:pPr>
        <w:numPr>
          <w:ilvl w:val="0"/>
          <w:numId w:val="14"/>
        </w:numPr>
        <w:tabs>
          <w:tab w:val="left" w:pos="-1418"/>
          <w:tab w:val="num" w:pos="360"/>
          <w:tab w:val="decimal" w:pos="8222"/>
        </w:tabs>
        <w:spacing w:before="240" w:after="120"/>
        <w:ind w:left="0" w:firstLine="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invalidné (o 17 655 tis. Eur), z dôvodu vyššieho počtu novopriznávaných dôchodkov ako bolo rozpočtované.</w:t>
      </w:r>
    </w:p>
    <w:p w:rsidR="008A38D3" w:rsidRPr="008A38D3" w:rsidRDefault="008A38D3" w:rsidP="008A38D3">
      <w:pPr>
        <w:numPr>
          <w:ilvl w:val="0"/>
          <w:numId w:val="14"/>
        </w:numPr>
        <w:tabs>
          <w:tab w:val="left" w:pos="-1418"/>
          <w:tab w:val="num" w:pos="360"/>
          <w:tab w:val="decimal" w:pos="8222"/>
        </w:tabs>
        <w:spacing w:before="240" w:after="120"/>
        <w:ind w:left="0" w:firstLine="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starobné (o 16 526 tis. Eur), čo je spôsobené najmä</w:t>
      </w:r>
      <w:r w:rsidRPr="008A38D3">
        <w:rPr>
          <w:rFonts w:ascii="Arial" w:hAnsi="Arial" w:cs="Arial"/>
        </w:rPr>
        <w:t xml:space="preserve"> vyšším počtom ako aj vyššou priemernou výškou presunutých predčasných starobných dôchodkov do starobných dôchodkov po dovŕšení dôchodkového veku poberateľa ako bolo rozpočtované.</w:t>
      </w:r>
    </w:p>
    <w:p w:rsidR="008A38D3" w:rsidRPr="008A38D3" w:rsidRDefault="008A38D3" w:rsidP="008A38D3">
      <w:pPr>
        <w:tabs>
          <w:tab w:val="left" w:pos="-1418"/>
          <w:tab w:val="decimal" w:pos="8222"/>
        </w:tabs>
        <w:spacing w:before="240"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lastRenderedPageBreak/>
        <w:t>Výška výdavkov na dôchodkové dávky v hodnotenom období zahŕňa aj zvýšenie dôchodkov od 1. januára  2011, v zmysle § 82 zákona o sociálnom poistení o 1,8 % vo výške 82 459 tis. Eur, v ktorej sa zvýšenie od prvého dňa v mesiaci prejavilo v sume 3 154 tis. Eur. Zvýšenie na jeden dôchodok predstavovalo 4,99 Eur (na starobný dôchodok 5,99 Eur, predčasný starobný dôchodok 6,31 Eur a na invalidný dôchodok 4,54 Eur).</w:t>
      </w:r>
    </w:p>
    <w:p w:rsidR="008A38D3" w:rsidRPr="008A38D3" w:rsidRDefault="008A38D3" w:rsidP="008A38D3">
      <w:pPr>
        <w:spacing w:before="240" w:after="120"/>
        <w:ind w:right="-110" w:firstLine="709"/>
        <w:jc w:val="both"/>
        <w:rPr>
          <w:rFonts w:ascii="Arial" w:hAnsi="Arial"/>
          <w:noProof/>
          <w:szCs w:val="20"/>
        </w:rPr>
      </w:pPr>
      <w:r w:rsidRPr="008A38D3">
        <w:rPr>
          <w:rFonts w:ascii="Arial" w:hAnsi="Arial"/>
          <w:szCs w:val="20"/>
        </w:rPr>
        <w:t>Podiel jednotlivých dôchodkových dávok na celkových výdavkoch v percentuálnom vyjadrení je znázornený v nasledujúcom grafe:</w:t>
      </w:r>
      <w:r w:rsidRPr="008A38D3">
        <w:rPr>
          <w:rFonts w:ascii="Arial" w:hAnsi="Arial"/>
          <w:noProof/>
          <w:szCs w:val="20"/>
        </w:rPr>
        <w:t xml:space="preserve"> </w:t>
      </w:r>
    </w:p>
    <w:p w:rsidR="008A38D3" w:rsidRPr="008A38D3" w:rsidRDefault="008A38D3" w:rsidP="008A38D3">
      <w:pPr>
        <w:spacing w:before="240" w:after="120"/>
        <w:ind w:right="-110" w:firstLine="709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noProof/>
          <w:szCs w:val="20"/>
        </w:rPr>
        <w:drawing>
          <wp:inline distT="0" distB="0" distL="0" distR="0" wp14:anchorId="360C482E" wp14:editId="1039E042">
            <wp:extent cx="5762625" cy="1924050"/>
            <wp:effectExtent l="0" t="0" r="0" b="0"/>
            <wp:docPr id="4" name="Graf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8A38D3" w:rsidRPr="008A38D3" w:rsidRDefault="008A38D3" w:rsidP="008A38D3">
      <w:pPr>
        <w:spacing w:before="240" w:after="120"/>
        <w:ind w:right="-159" w:firstLine="720"/>
        <w:jc w:val="both"/>
        <w:rPr>
          <w:rFonts w:ascii="Arial" w:hAnsi="Arial"/>
          <w:color w:val="000000"/>
          <w:szCs w:val="20"/>
        </w:rPr>
      </w:pPr>
      <w:r w:rsidRPr="008A38D3">
        <w:rPr>
          <w:rFonts w:ascii="Arial" w:hAnsi="Arial"/>
          <w:color w:val="000000"/>
          <w:szCs w:val="20"/>
        </w:rPr>
        <w:t xml:space="preserve">V porovnaní so stavom k 31. decembru 2010 sa v hodnotenom období znížil počet vyplácaných dôchodkov o 8 931. Najväčší pokles bol v predčasných starobných dôchodkoch (-13 240) a to najmä z dôvodu zmeny podmienok nároku na výplatu predčasného starobného  dôchodku podľa § 67 ods. 5 zákona o sociálnom </w:t>
      </w:r>
      <w:r w:rsidRPr="008A38D3">
        <w:rPr>
          <w:rFonts w:ascii="Arial" w:hAnsi="Arial"/>
          <w:color w:val="000000" w:themeColor="text1"/>
          <w:szCs w:val="20"/>
        </w:rPr>
        <w:t>poistení</w:t>
      </w:r>
      <w:r w:rsidRPr="008A38D3">
        <w:rPr>
          <w:rFonts w:ascii="Arial" w:hAnsi="Arial"/>
          <w:color w:val="000000" w:themeColor="text1"/>
          <w:szCs w:val="20"/>
        </w:rPr>
        <w:br/>
        <w:t xml:space="preserve">(-10 498), </w:t>
      </w:r>
      <w:r w:rsidRPr="008A38D3">
        <w:rPr>
          <w:rFonts w:ascii="Arial" w:hAnsi="Arial"/>
          <w:color w:val="000000"/>
          <w:szCs w:val="20"/>
        </w:rPr>
        <w:t>sirotských dôchodkoch (-3 617) hlavne z dôvodu ukončenia školského roka, a vdovských dôchodkoch (-1 872).</w:t>
      </w:r>
      <w:r w:rsidRPr="008A38D3">
        <w:rPr>
          <w:rFonts w:ascii="Arial" w:hAnsi="Arial"/>
          <w:color w:val="FF0000"/>
          <w:szCs w:val="20"/>
        </w:rPr>
        <w:t xml:space="preserve"> </w:t>
      </w:r>
      <w:r w:rsidRPr="008A38D3">
        <w:rPr>
          <w:rFonts w:ascii="Arial" w:hAnsi="Arial"/>
          <w:color w:val="000000"/>
          <w:szCs w:val="20"/>
        </w:rPr>
        <w:t>Nárast počtu vyplácaných dôchodkov bol zaznamenaný najmä v invalidných dôchodkoch (8 086) a vdoveckých dôchodkoch (1 096).</w:t>
      </w:r>
    </w:p>
    <w:p w:rsidR="008A38D3" w:rsidRPr="008A38D3" w:rsidRDefault="008A38D3" w:rsidP="008A38D3">
      <w:pPr>
        <w:spacing w:before="240" w:after="120"/>
        <w:ind w:firstLine="720"/>
        <w:jc w:val="both"/>
        <w:rPr>
          <w:rFonts w:ascii="Arial" w:hAnsi="Arial" w:cs="Arial"/>
          <w:color w:val="000000"/>
        </w:rPr>
      </w:pPr>
      <w:r w:rsidRPr="008A38D3">
        <w:rPr>
          <w:rFonts w:ascii="Arial" w:hAnsi="Arial"/>
          <w:color w:val="000000"/>
          <w:szCs w:val="20"/>
        </w:rPr>
        <w:t xml:space="preserve">Prehľad o počte vyplácaných dôchodkov podľa druhu dôchodku k 31. októbru 2011, v porovnaní so stavom k 31. októbru </w:t>
      </w:r>
      <w:r w:rsidRPr="008A38D3">
        <w:rPr>
          <w:rFonts w:ascii="Arial" w:hAnsi="Arial" w:cs="Arial"/>
          <w:color w:val="000000"/>
        </w:rPr>
        <w:t>2010 a k 31. decembru 2010 je v nasledujúcej tabuľke:</w:t>
      </w:r>
    </w:p>
    <w:tbl>
      <w:tblPr>
        <w:tblW w:w="9503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16"/>
        <w:gridCol w:w="1276"/>
        <w:gridCol w:w="1141"/>
        <w:gridCol w:w="1141"/>
        <w:gridCol w:w="978"/>
        <w:gridCol w:w="851"/>
      </w:tblGrid>
      <w:tr w:rsidR="008A38D3" w:rsidRPr="008A38D3" w:rsidTr="00752E8B">
        <w:trPr>
          <w:trHeight w:val="255"/>
        </w:trPr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  <w:tc>
          <w:tcPr>
            <w:tcW w:w="355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Stav k</w:t>
            </w:r>
          </w:p>
        </w:tc>
        <w:tc>
          <w:tcPr>
            <w:tcW w:w="9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Rozdiel (3-1)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Rozdiel (3-2)</w:t>
            </w:r>
          </w:p>
        </w:tc>
      </w:tr>
      <w:tr w:rsidR="008A38D3" w:rsidRPr="008A38D3" w:rsidTr="00752E8B">
        <w:trPr>
          <w:trHeight w:val="255"/>
        </w:trPr>
        <w:tc>
          <w:tcPr>
            <w:tcW w:w="4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Druh dôchodku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 xml:space="preserve"> 31.10.2010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 xml:space="preserve"> 31.12.2010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 xml:space="preserve"> 31.10.2011</w:t>
            </w:r>
          </w:p>
        </w:tc>
        <w:tc>
          <w:tcPr>
            <w:tcW w:w="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</w:p>
        </w:tc>
      </w:tr>
      <w:tr w:rsidR="008A38D3" w:rsidRPr="008A38D3" w:rsidTr="00752E8B">
        <w:trPr>
          <w:trHeight w:val="255"/>
        </w:trPr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</w:t>
            </w:r>
          </w:p>
        </w:tc>
        <w:tc>
          <w:tcPr>
            <w:tcW w:w="11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</w:t>
            </w:r>
          </w:p>
        </w:tc>
        <w:tc>
          <w:tcPr>
            <w:tcW w:w="11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5</w:t>
            </w:r>
          </w:p>
        </w:tc>
      </w:tr>
      <w:tr w:rsidR="008A38D3" w:rsidRPr="008A38D3" w:rsidTr="00752E8B">
        <w:trPr>
          <w:trHeight w:val="178"/>
        </w:trPr>
        <w:tc>
          <w:tcPr>
            <w:tcW w:w="41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Starobný dôchodok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946 276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954 661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953 699</w:t>
            </w: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7 423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-962</w:t>
            </w:r>
          </w:p>
        </w:tc>
      </w:tr>
      <w:tr w:rsidR="008A38D3" w:rsidRPr="008A38D3" w:rsidTr="00752E8B">
        <w:trPr>
          <w:trHeight w:val="92"/>
        </w:trPr>
        <w:tc>
          <w:tcPr>
            <w:tcW w:w="41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Predčasný starobný dôchodok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51 587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47 893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34 653</w:t>
            </w: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-16 934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-13 240</w:t>
            </w:r>
          </w:p>
        </w:tc>
      </w:tr>
      <w:tr w:rsidR="008A38D3" w:rsidRPr="008A38D3" w:rsidTr="00752E8B">
        <w:trPr>
          <w:trHeight w:val="138"/>
        </w:trPr>
        <w:tc>
          <w:tcPr>
            <w:tcW w:w="41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Invalidný dôchodok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212 270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213 834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221 920</w:t>
            </w: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9 650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8 086</w:t>
            </w:r>
          </w:p>
        </w:tc>
      </w:tr>
      <w:tr w:rsidR="008A38D3" w:rsidRPr="008A38D3" w:rsidTr="00752E8B">
        <w:trPr>
          <w:trHeight w:val="80"/>
        </w:trPr>
        <w:tc>
          <w:tcPr>
            <w:tcW w:w="41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Vdovský dôchodok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300 033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300 405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298 533</w:t>
            </w: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-1 500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-1 872</w:t>
            </w:r>
          </w:p>
        </w:tc>
      </w:tr>
      <w:tr w:rsidR="008A38D3" w:rsidRPr="008A38D3" w:rsidTr="00752E8B">
        <w:trPr>
          <w:trHeight w:val="103"/>
        </w:trPr>
        <w:tc>
          <w:tcPr>
            <w:tcW w:w="41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 xml:space="preserve">Vdovecký dôchodok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36 003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36 439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37 535</w:t>
            </w: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1 532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1 096</w:t>
            </w:r>
          </w:p>
        </w:tc>
      </w:tr>
      <w:tr w:rsidR="008A38D3" w:rsidRPr="008A38D3" w:rsidTr="00752E8B">
        <w:trPr>
          <w:trHeight w:val="80"/>
        </w:trPr>
        <w:tc>
          <w:tcPr>
            <w:tcW w:w="41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Sirotský dôchodok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24 628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28 043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24 426</w:t>
            </w: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-202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-3 617</w:t>
            </w:r>
          </w:p>
        </w:tc>
      </w:tr>
      <w:tr w:rsidR="008A38D3" w:rsidRPr="008A38D3" w:rsidTr="00752E8B">
        <w:trPr>
          <w:trHeight w:val="80"/>
        </w:trPr>
        <w:tc>
          <w:tcPr>
            <w:tcW w:w="41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Dôchodky neprevzaté do automat. evidencie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188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188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168</w:t>
            </w: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-20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-20</w:t>
            </w:r>
          </w:p>
        </w:tc>
      </w:tr>
      <w:tr w:rsidR="008A38D3" w:rsidRPr="008A38D3" w:rsidTr="00752E8B">
        <w:trPr>
          <w:trHeight w:val="80"/>
        </w:trPr>
        <w:tc>
          <w:tcPr>
            <w:tcW w:w="41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Dôchodky vyplácané do cudziny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color w:val="000000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color w:val="000000"/>
                <w:sz w:val="20"/>
                <w:szCs w:val="20"/>
              </w:rPr>
              <w:t>13 914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14 309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15 907</w:t>
            </w: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1 993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1 598</w:t>
            </w:r>
          </w:p>
        </w:tc>
      </w:tr>
      <w:tr w:rsidR="008A38D3" w:rsidRPr="008A38D3" w:rsidTr="00752E8B">
        <w:trPr>
          <w:trHeight w:val="251"/>
        </w:trPr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Celkom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1 584 899</w:t>
            </w:r>
          </w:p>
        </w:tc>
        <w:tc>
          <w:tcPr>
            <w:tcW w:w="11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1 595 772</w:t>
            </w:r>
          </w:p>
        </w:tc>
        <w:tc>
          <w:tcPr>
            <w:tcW w:w="1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1 586 841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1 942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-8 931</w:t>
            </w:r>
          </w:p>
        </w:tc>
      </w:tr>
    </w:tbl>
    <w:p w:rsidR="008A38D3" w:rsidRPr="008A38D3" w:rsidRDefault="008A38D3" w:rsidP="008A38D3">
      <w:pPr>
        <w:tabs>
          <w:tab w:val="left" w:pos="-5103"/>
        </w:tabs>
        <w:spacing w:before="240" w:after="120"/>
        <w:ind w:right="-159" w:firstLine="709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 xml:space="preserve">Vývoj počtu vyplácaných dôchodkov podľa jednotlivých mesiacov roka 2010 a 2011 je takýto: </w:t>
      </w:r>
    </w:p>
    <w:p w:rsidR="008A38D3" w:rsidRPr="008A38D3" w:rsidRDefault="008A38D3" w:rsidP="008A38D3">
      <w:pPr>
        <w:spacing w:after="120"/>
        <w:ind w:right="-159"/>
        <w:jc w:val="both"/>
        <w:rPr>
          <w:rFonts w:ascii="Arial" w:hAnsi="Arial"/>
          <w:color w:val="000000"/>
          <w:szCs w:val="20"/>
        </w:rPr>
      </w:pPr>
      <w:r w:rsidRPr="008A38D3">
        <w:rPr>
          <w:rFonts w:ascii="Arial" w:hAnsi="Arial"/>
          <w:noProof/>
          <w:color w:val="000000"/>
          <w:szCs w:val="20"/>
        </w:rPr>
        <w:lastRenderedPageBreak/>
        <w:drawing>
          <wp:inline distT="0" distB="0" distL="0" distR="0" wp14:anchorId="23F51D8A" wp14:editId="0D7AF82D">
            <wp:extent cx="5762625" cy="3848100"/>
            <wp:effectExtent l="0" t="0" r="0" b="0"/>
            <wp:docPr id="5" name="Graf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8A38D3" w:rsidRPr="008A38D3" w:rsidRDefault="008A38D3" w:rsidP="008A38D3">
      <w:pPr>
        <w:spacing w:after="120"/>
        <w:ind w:right="-159" w:firstLine="720"/>
        <w:jc w:val="both"/>
        <w:rPr>
          <w:rFonts w:ascii="Arial" w:hAnsi="Arial" w:cs="Arial"/>
          <w:color w:val="000000"/>
        </w:rPr>
      </w:pPr>
      <w:r w:rsidRPr="008A38D3">
        <w:rPr>
          <w:rFonts w:ascii="Arial" w:hAnsi="Arial"/>
          <w:color w:val="000000"/>
          <w:szCs w:val="20"/>
        </w:rPr>
        <w:t>Prehľad o priemernej mesačnej výške vyplácaného sólo dôchodku podľa druhu dôchodku k 31. októbru 2011, v porovnaní so stavom k 31. októbru </w:t>
      </w:r>
      <w:r w:rsidRPr="008A38D3">
        <w:rPr>
          <w:rFonts w:ascii="Arial" w:hAnsi="Arial" w:cs="Arial"/>
          <w:color w:val="000000"/>
        </w:rPr>
        <w:t>2010 a k 31. decembru 2010 je v nasledujúcej tabuľke:</w:t>
      </w:r>
    </w:p>
    <w:tbl>
      <w:tblPr>
        <w:tblW w:w="8796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40"/>
        <w:gridCol w:w="1360"/>
        <w:gridCol w:w="1360"/>
        <w:gridCol w:w="1360"/>
        <w:gridCol w:w="940"/>
        <w:gridCol w:w="936"/>
      </w:tblGrid>
      <w:tr w:rsidR="008A38D3" w:rsidRPr="008A38D3" w:rsidTr="00752E8B">
        <w:trPr>
          <w:trHeight w:val="255"/>
        </w:trPr>
        <w:tc>
          <w:tcPr>
            <w:tcW w:w="2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9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v Eur</w:t>
            </w:r>
          </w:p>
        </w:tc>
      </w:tr>
      <w:tr w:rsidR="008A38D3" w:rsidRPr="008A38D3" w:rsidTr="00752E8B">
        <w:trPr>
          <w:trHeight w:val="255"/>
        </w:trPr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 </w:t>
            </w:r>
          </w:p>
        </w:tc>
        <w:tc>
          <w:tcPr>
            <w:tcW w:w="4080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Výška vyplácaného sólo dôchodku k</w:t>
            </w:r>
          </w:p>
        </w:tc>
        <w:tc>
          <w:tcPr>
            <w:tcW w:w="9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Rozdiel   (3-1)</w:t>
            </w:r>
          </w:p>
        </w:tc>
        <w:tc>
          <w:tcPr>
            <w:tcW w:w="9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Rozdiel   (3-2)</w:t>
            </w:r>
          </w:p>
        </w:tc>
      </w:tr>
      <w:tr w:rsidR="008A38D3" w:rsidRPr="008A38D3" w:rsidTr="00752E8B">
        <w:trPr>
          <w:trHeight w:val="255"/>
        </w:trPr>
        <w:tc>
          <w:tcPr>
            <w:tcW w:w="28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Druh dôchodku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 xml:space="preserve"> 31.10.2010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 xml:space="preserve"> 31.12.2010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 xml:space="preserve"> 31.10.2011</w:t>
            </w:r>
          </w:p>
        </w:tc>
        <w:tc>
          <w:tcPr>
            <w:tcW w:w="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9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</w:p>
        </w:tc>
      </w:tr>
      <w:tr w:rsidR="008A38D3" w:rsidRPr="008A38D3" w:rsidTr="00752E8B">
        <w:trPr>
          <w:trHeight w:val="255"/>
        </w:trPr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a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4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5</w:t>
            </w:r>
          </w:p>
        </w:tc>
      </w:tr>
      <w:tr w:rsidR="008A38D3" w:rsidRPr="008A38D3" w:rsidTr="00752E8B">
        <w:trPr>
          <w:trHeight w:val="255"/>
        </w:trPr>
        <w:tc>
          <w:tcPr>
            <w:tcW w:w="28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starobný dôchodok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352,27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352,54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361,78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9,51</w:t>
            </w:r>
          </w:p>
        </w:tc>
        <w:tc>
          <w:tcPr>
            <w:tcW w:w="9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9,24</w:t>
            </w:r>
          </w:p>
        </w:tc>
      </w:tr>
      <w:tr w:rsidR="008A38D3" w:rsidRPr="008A38D3" w:rsidTr="00752E8B">
        <w:trPr>
          <w:trHeight w:val="80"/>
        </w:trPr>
        <w:tc>
          <w:tcPr>
            <w:tcW w:w="28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predčasný starobný dôchodok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366,61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367,05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356,89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-9,72</w:t>
            </w:r>
          </w:p>
        </w:tc>
        <w:tc>
          <w:tcPr>
            <w:tcW w:w="9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-10,16</w:t>
            </w:r>
          </w:p>
        </w:tc>
      </w:tr>
      <w:tr w:rsidR="008A38D3" w:rsidRPr="008A38D3" w:rsidTr="00752E8B">
        <w:trPr>
          <w:trHeight w:val="80"/>
        </w:trPr>
        <w:tc>
          <w:tcPr>
            <w:tcW w:w="28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invalidný dôchodok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255,25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254,79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256,07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0,82</w:t>
            </w:r>
          </w:p>
        </w:tc>
        <w:tc>
          <w:tcPr>
            <w:tcW w:w="9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1,28</w:t>
            </w:r>
          </w:p>
        </w:tc>
      </w:tr>
      <w:tr w:rsidR="008A38D3" w:rsidRPr="008A38D3" w:rsidTr="00752E8B">
        <w:trPr>
          <w:trHeight w:val="118"/>
        </w:trPr>
        <w:tc>
          <w:tcPr>
            <w:tcW w:w="28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vdovský dôchodok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216,89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217,08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221,84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4,95</w:t>
            </w:r>
          </w:p>
        </w:tc>
        <w:tc>
          <w:tcPr>
            <w:tcW w:w="9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4,76</w:t>
            </w:r>
          </w:p>
        </w:tc>
      </w:tr>
      <w:tr w:rsidR="008A38D3" w:rsidRPr="008A38D3" w:rsidTr="00752E8B">
        <w:trPr>
          <w:trHeight w:val="164"/>
        </w:trPr>
        <w:tc>
          <w:tcPr>
            <w:tcW w:w="28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 xml:space="preserve">vdovecký dôchodok 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165,84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165,35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170,00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4,16</w:t>
            </w:r>
          </w:p>
        </w:tc>
        <w:tc>
          <w:tcPr>
            <w:tcW w:w="9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4,65</w:t>
            </w:r>
          </w:p>
        </w:tc>
      </w:tr>
      <w:tr w:rsidR="008A38D3" w:rsidRPr="008A38D3" w:rsidTr="00752E8B">
        <w:trPr>
          <w:trHeight w:val="80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sirotský dôchodok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123,76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125,28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124,22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0,46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-1,06</w:t>
            </w:r>
          </w:p>
        </w:tc>
      </w:tr>
    </w:tbl>
    <w:p w:rsidR="008A38D3" w:rsidRPr="008A38D3" w:rsidRDefault="008A38D3" w:rsidP="008A38D3">
      <w:pPr>
        <w:spacing w:before="240" w:after="120"/>
        <w:ind w:firstLine="720"/>
        <w:jc w:val="both"/>
        <w:rPr>
          <w:rFonts w:ascii="Arial" w:hAnsi="Arial" w:cs="Arial"/>
          <w:color w:val="000000"/>
        </w:rPr>
      </w:pPr>
      <w:r w:rsidRPr="008A38D3">
        <w:rPr>
          <w:rFonts w:ascii="Arial" w:hAnsi="Arial" w:cs="Arial"/>
          <w:color w:val="000000"/>
        </w:rPr>
        <w:t>Prehľad o priemernej výške vyplácaných sólo dôchodkov podľa druhu dôchodku a pohlavia k 31. októbru 2011 je uvedený v nasledujúcej tabuľke:</w:t>
      </w:r>
    </w:p>
    <w:tbl>
      <w:tblPr>
        <w:tblW w:w="6804" w:type="dxa"/>
        <w:tblInd w:w="77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5"/>
        <w:gridCol w:w="1418"/>
        <w:gridCol w:w="1275"/>
        <w:gridCol w:w="1276"/>
      </w:tblGrid>
      <w:tr w:rsidR="008A38D3" w:rsidRPr="008A38D3" w:rsidTr="00752E8B">
        <w:trPr>
          <w:trHeight w:val="255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v Eur</w:t>
            </w:r>
          </w:p>
        </w:tc>
      </w:tr>
      <w:tr w:rsidR="008A38D3" w:rsidRPr="008A38D3" w:rsidTr="00752E8B">
        <w:trPr>
          <w:trHeight w:val="255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Druh dôchodku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muži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ženy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spolu</w:t>
            </w:r>
          </w:p>
        </w:tc>
      </w:tr>
      <w:tr w:rsidR="008A38D3" w:rsidRPr="008A38D3" w:rsidTr="00752E8B">
        <w:trPr>
          <w:trHeight w:val="255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</w:t>
            </w:r>
          </w:p>
        </w:tc>
      </w:tr>
      <w:tr w:rsidR="008A38D3" w:rsidRPr="008A38D3" w:rsidTr="00752E8B">
        <w:trPr>
          <w:trHeight w:val="256"/>
        </w:trPr>
        <w:tc>
          <w:tcPr>
            <w:tcW w:w="283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Starobný dôchodok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411,25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321,91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361,78</w:t>
            </w:r>
          </w:p>
        </w:tc>
      </w:tr>
      <w:tr w:rsidR="008A38D3" w:rsidRPr="008A38D3" w:rsidTr="00752E8B">
        <w:trPr>
          <w:trHeight w:val="129"/>
        </w:trPr>
        <w:tc>
          <w:tcPr>
            <w:tcW w:w="283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Predčasný starobný dôchodok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378,44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304,47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356,89</w:t>
            </w:r>
          </w:p>
        </w:tc>
      </w:tr>
      <w:tr w:rsidR="008A38D3" w:rsidRPr="008A38D3" w:rsidTr="00752E8B">
        <w:trPr>
          <w:trHeight w:val="80"/>
        </w:trPr>
        <w:tc>
          <w:tcPr>
            <w:tcW w:w="283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Invalidný dôchodok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279,25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229,05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256,07</w:t>
            </w:r>
          </w:p>
        </w:tc>
      </w:tr>
      <w:tr w:rsidR="008A38D3" w:rsidRPr="008A38D3" w:rsidTr="00752E8B">
        <w:trPr>
          <w:trHeight w:val="106"/>
        </w:trPr>
        <w:tc>
          <w:tcPr>
            <w:tcW w:w="283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Vdovský dôchodok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x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221,84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221,84</w:t>
            </w:r>
          </w:p>
        </w:tc>
      </w:tr>
      <w:tr w:rsidR="008A38D3" w:rsidRPr="008A38D3" w:rsidTr="00752E8B">
        <w:trPr>
          <w:trHeight w:val="153"/>
        </w:trPr>
        <w:tc>
          <w:tcPr>
            <w:tcW w:w="283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 xml:space="preserve">Vdovecký dôchodok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170,00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x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170,00</w:t>
            </w:r>
          </w:p>
        </w:tc>
      </w:tr>
      <w:tr w:rsidR="008A38D3" w:rsidRPr="008A38D3" w:rsidTr="00752E8B">
        <w:trPr>
          <w:trHeight w:val="8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Sirotský dôchodok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118,31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126,37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 CE" w:hAnsi="Arial CE" w:cs="Arial CE"/>
                <w:sz w:val="20"/>
                <w:szCs w:val="20"/>
              </w:rPr>
            </w:pPr>
            <w:r w:rsidRPr="008A38D3">
              <w:rPr>
                <w:rFonts w:ascii="Arial CE" w:hAnsi="Arial CE" w:cs="Arial CE"/>
                <w:sz w:val="20"/>
                <w:szCs w:val="20"/>
              </w:rPr>
              <w:t>124,22</w:t>
            </w:r>
          </w:p>
        </w:tc>
      </w:tr>
    </w:tbl>
    <w:p w:rsidR="008A38D3" w:rsidRPr="008A38D3" w:rsidRDefault="008A38D3" w:rsidP="008A38D3">
      <w:pPr>
        <w:tabs>
          <w:tab w:val="decimal" w:pos="8222"/>
        </w:tabs>
        <w:spacing w:before="240" w:after="120"/>
        <w:ind w:right="-110" w:firstLine="709"/>
        <w:jc w:val="both"/>
        <w:rPr>
          <w:rFonts w:ascii="Arial" w:hAnsi="Arial"/>
          <w:color w:val="000000"/>
        </w:rPr>
      </w:pPr>
      <w:r w:rsidRPr="008A38D3">
        <w:rPr>
          <w:rFonts w:ascii="Arial" w:hAnsi="Arial"/>
          <w:color w:val="000000"/>
        </w:rPr>
        <w:t>Priemerná mesačná výška vyplácaných dôchodkov vzrástla, oproti rovnakému obdobiu minulého roka, najmä v dôsledku realizovaného zvýšenia dôchodkov s účinnosťou od 1. 1. 2011.</w:t>
      </w:r>
    </w:p>
    <w:p w:rsidR="008A38D3" w:rsidRPr="008A38D3" w:rsidRDefault="008A38D3" w:rsidP="008A38D3">
      <w:pPr>
        <w:numPr>
          <w:ilvl w:val="1"/>
          <w:numId w:val="16"/>
        </w:numPr>
        <w:tabs>
          <w:tab w:val="left" w:pos="709"/>
          <w:tab w:val="decimal" w:pos="8222"/>
        </w:tabs>
        <w:spacing w:before="240" w:after="120"/>
        <w:ind w:left="0" w:firstLine="0"/>
        <w:contextualSpacing/>
        <w:rPr>
          <w:rFonts w:ascii="Arial" w:hAnsi="Arial"/>
          <w:szCs w:val="20"/>
        </w:rPr>
      </w:pPr>
      <w:r w:rsidRPr="008A38D3">
        <w:rPr>
          <w:rFonts w:ascii="Arial" w:hAnsi="Arial"/>
          <w:b/>
          <w:color w:val="000000"/>
          <w:szCs w:val="20"/>
        </w:rPr>
        <w:lastRenderedPageBreak/>
        <w:t xml:space="preserve">Výdavky základného fondu úrazového poistenia </w:t>
      </w:r>
      <w:r w:rsidRPr="008A38D3">
        <w:rPr>
          <w:rFonts w:ascii="Arial" w:hAnsi="Arial"/>
          <w:b/>
          <w:color w:val="000000"/>
          <w:szCs w:val="20"/>
        </w:rPr>
        <w:tab/>
        <w:t>36 074 tis. Eur</w:t>
      </w:r>
      <w:r w:rsidRPr="008A38D3">
        <w:rPr>
          <w:rFonts w:ascii="Arial" w:hAnsi="Arial"/>
          <w:color w:val="000000"/>
          <w:szCs w:val="20"/>
        </w:rPr>
        <w:t>,</w:t>
      </w:r>
      <w:r w:rsidRPr="008A38D3">
        <w:rPr>
          <w:rFonts w:ascii="Arial" w:hAnsi="Arial"/>
          <w:color w:val="000000"/>
          <w:szCs w:val="20"/>
        </w:rPr>
        <w:br/>
        <w:t xml:space="preserve">čo je 81,94 % </w:t>
      </w:r>
      <w:r w:rsidRPr="008A38D3">
        <w:rPr>
          <w:rFonts w:ascii="Arial" w:hAnsi="Arial"/>
          <w:szCs w:val="20"/>
        </w:rPr>
        <w:t xml:space="preserve">rozpočtu </w:t>
      </w:r>
      <w:r w:rsidRPr="008A38D3">
        <w:rPr>
          <w:rFonts w:ascii="Arial" w:hAnsi="Arial"/>
          <w:color w:val="000000"/>
          <w:szCs w:val="20"/>
        </w:rPr>
        <w:t>vo výške</w:t>
      </w:r>
      <w:r w:rsidRPr="008A38D3">
        <w:rPr>
          <w:rFonts w:ascii="Arial" w:hAnsi="Arial"/>
          <w:color w:val="000000"/>
          <w:szCs w:val="20"/>
        </w:rPr>
        <w:tab/>
        <w:t>44 024 tis. Eur</w:t>
      </w:r>
      <w:r w:rsidRPr="008A38D3">
        <w:rPr>
          <w:rFonts w:ascii="Arial" w:hAnsi="Arial"/>
          <w:szCs w:val="20"/>
        </w:rPr>
        <w:br/>
        <w:t>a 98,72 % časového rozpisu vo výške</w:t>
      </w:r>
      <w:r w:rsidRPr="008A38D3">
        <w:rPr>
          <w:rFonts w:ascii="Arial" w:hAnsi="Arial"/>
          <w:szCs w:val="20"/>
        </w:rPr>
        <w:tab/>
        <w:t xml:space="preserve">36 543 tis. Eur. </w:t>
      </w:r>
    </w:p>
    <w:p w:rsidR="008A38D3" w:rsidRPr="008A38D3" w:rsidRDefault="008A38D3" w:rsidP="008A38D3">
      <w:pPr>
        <w:tabs>
          <w:tab w:val="decimal" w:pos="8222"/>
        </w:tabs>
        <w:ind w:firstLine="720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V uvedenej sume výdavkov sú zahrnuté:</w:t>
      </w:r>
    </w:p>
    <w:p w:rsidR="008A38D3" w:rsidRPr="008A38D3" w:rsidRDefault="008A38D3" w:rsidP="008A38D3">
      <w:pPr>
        <w:numPr>
          <w:ilvl w:val="0"/>
          <w:numId w:val="4"/>
        </w:numPr>
        <w:tabs>
          <w:tab w:val="decimal" w:pos="8222"/>
        </w:tabs>
        <w:ind w:left="0" w:firstLine="0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výdavky na úrazové dávky</w:t>
      </w:r>
      <w:r w:rsidRPr="008A38D3">
        <w:rPr>
          <w:rFonts w:ascii="Arial" w:hAnsi="Arial"/>
          <w:szCs w:val="20"/>
        </w:rPr>
        <w:tab/>
        <w:t>34 321 tis. Eur,</w:t>
      </w:r>
    </w:p>
    <w:p w:rsidR="008A38D3" w:rsidRPr="008A38D3" w:rsidRDefault="008A38D3" w:rsidP="008A38D3">
      <w:pPr>
        <w:numPr>
          <w:ilvl w:val="0"/>
          <w:numId w:val="4"/>
        </w:numPr>
        <w:tabs>
          <w:tab w:val="decimal" w:pos="8222"/>
        </w:tabs>
        <w:ind w:left="0" w:firstLine="0"/>
        <w:rPr>
          <w:rFonts w:ascii="Arial" w:hAnsi="Arial"/>
          <w:snapToGrid w:val="0"/>
          <w:szCs w:val="20"/>
        </w:rPr>
      </w:pPr>
      <w:r w:rsidRPr="008A38D3">
        <w:rPr>
          <w:rFonts w:ascii="Arial" w:hAnsi="Arial"/>
          <w:snapToGrid w:val="0"/>
          <w:szCs w:val="20"/>
        </w:rPr>
        <w:t>zúčtovanie dôchodkových dávok</w:t>
      </w:r>
      <w:r w:rsidRPr="008A38D3">
        <w:rPr>
          <w:rFonts w:ascii="Arial" w:hAnsi="Arial"/>
          <w:snapToGrid w:val="0"/>
          <w:szCs w:val="20"/>
        </w:rPr>
        <w:tab/>
        <w:t>-101 tis. Eur.</w:t>
      </w:r>
    </w:p>
    <w:p w:rsidR="008A38D3" w:rsidRPr="008A38D3" w:rsidRDefault="008A38D3" w:rsidP="008A38D3">
      <w:pPr>
        <w:numPr>
          <w:ilvl w:val="0"/>
          <w:numId w:val="4"/>
        </w:numPr>
        <w:tabs>
          <w:tab w:val="decimal" w:pos="8222"/>
        </w:tabs>
        <w:spacing w:after="120"/>
        <w:ind w:left="709" w:hanging="709"/>
        <w:rPr>
          <w:rFonts w:ascii="Arial" w:hAnsi="Arial"/>
          <w:snapToGrid w:val="0"/>
          <w:szCs w:val="20"/>
        </w:rPr>
      </w:pPr>
      <w:r w:rsidRPr="008A38D3">
        <w:rPr>
          <w:rFonts w:ascii="Arial" w:hAnsi="Arial"/>
          <w:szCs w:val="20"/>
        </w:rPr>
        <w:t>poistné do základného fondu starobného poistenia  a príspevky</w:t>
      </w:r>
      <w:r w:rsidRPr="008A38D3">
        <w:rPr>
          <w:rFonts w:ascii="Arial" w:hAnsi="Arial"/>
          <w:szCs w:val="20"/>
        </w:rPr>
        <w:br/>
        <w:t>na SDS platené do základného fondu príspevkov na SDS</w:t>
      </w:r>
      <w:r w:rsidRPr="008A38D3">
        <w:rPr>
          <w:rFonts w:ascii="Arial" w:hAnsi="Arial"/>
          <w:szCs w:val="20"/>
        </w:rPr>
        <w:tab/>
        <w:t>1 854 tis. Eur.</w:t>
      </w:r>
    </w:p>
    <w:p w:rsidR="008A38D3" w:rsidRPr="008A38D3" w:rsidRDefault="008A38D3" w:rsidP="008A38D3">
      <w:pPr>
        <w:spacing w:before="240" w:after="120"/>
        <w:ind w:firstLine="709"/>
        <w:jc w:val="both"/>
        <w:rPr>
          <w:rFonts w:ascii="Arial" w:hAnsi="Arial"/>
          <w:snapToGrid w:val="0"/>
          <w:szCs w:val="20"/>
        </w:rPr>
      </w:pPr>
      <w:r w:rsidRPr="008A38D3">
        <w:rPr>
          <w:rFonts w:ascii="Arial" w:hAnsi="Arial"/>
          <w:szCs w:val="20"/>
        </w:rPr>
        <w:t xml:space="preserve">V porovnaní s časovým rozpisom sú skutočné výdavky základného fondu úrazového poistenia nižšie o 469 tis. Eur. V porovnaní s rovnakým obdobím roka 2010 sú výdavky základného fondu úrazového poistenia vyššie o 2 214 tis. Eur (index rastu 106,54 %). </w:t>
      </w:r>
    </w:p>
    <w:p w:rsidR="008A38D3" w:rsidRPr="008A38D3" w:rsidRDefault="008A38D3" w:rsidP="008A38D3">
      <w:pPr>
        <w:spacing w:before="240"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N</w:t>
      </w:r>
      <w:r w:rsidRPr="008A38D3">
        <w:rPr>
          <w:rFonts w:ascii="Arial" w:hAnsi="Arial"/>
          <w:snapToGrid w:val="0"/>
          <w:szCs w:val="20"/>
        </w:rPr>
        <w:t>ajvyšší podiel na vyplatených úrazových dávkach má úrazová renta v sume 18 325 tis. Eur</w:t>
      </w:r>
      <w:r w:rsidRPr="008A38D3">
        <w:rPr>
          <w:rFonts w:ascii="Arial" w:hAnsi="Arial"/>
          <w:szCs w:val="20"/>
        </w:rPr>
        <w:t xml:space="preserve">. </w:t>
      </w:r>
      <w:r w:rsidRPr="008A38D3">
        <w:rPr>
          <w:rFonts w:ascii="Arial" w:hAnsi="Arial"/>
          <w:snapToGrid w:val="0"/>
          <w:szCs w:val="20"/>
        </w:rPr>
        <w:t xml:space="preserve">V mesiacoch január až október 2011 bolo ústredím Sociálnej poisťovne (ďalej len „ústredie“) vyplatených priemerne mesačne 6 411 úrazových rent a 235 pozostalostných úrazových rent spolu v sume 18 592 tis. Eur. Pobočky vyplatili úrazové dávky v sume 15 729 tis. </w:t>
      </w:r>
      <w:r w:rsidRPr="008A38D3">
        <w:rPr>
          <w:rFonts w:ascii="Arial" w:hAnsi="Arial"/>
          <w:szCs w:val="20"/>
        </w:rPr>
        <w:t xml:space="preserve">Eur. </w:t>
      </w:r>
    </w:p>
    <w:p w:rsidR="008A38D3" w:rsidRPr="008A38D3" w:rsidRDefault="008A38D3" w:rsidP="008A38D3">
      <w:pPr>
        <w:numPr>
          <w:ilvl w:val="1"/>
          <w:numId w:val="7"/>
        </w:numPr>
        <w:tabs>
          <w:tab w:val="left" w:pos="720"/>
          <w:tab w:val="decimal" w:pos="8222"/>
          <w:tab w:val="num" w:pos="9072"/>
        </w:tabs>
        <w:spacing w:before="240" w:after="120"/>
        <w:ind w:left="0" w:firstLine="0"/>
        <w:rPr>
          <w:rFonts w:ascii="Arial" w:hAnsi="Arial"/>
          <w:color w:val="000000"/>
          <w:szCs w:val="20"/>
        </w:rPr>
      </w:pPr>
      <w:r w:rsidRPr="008A38D3">
        <w:rPr>
          <w:rFonts w:ascii="Arial" w:hAnsi="Arial"/>
          <w:b/>
          <w:color w:val="000000"/>
        </w:rPr>
        <w:t xml:space="preserve">Výdavky základného fondu garančného poistenia </w:t>
      </w:r>
      <w:r w:rsidRPr="008A38D3">
        <w:rPr>
          <w:rFonts w:ascii="Arial" w:hAnsi="Arial"/>
          <w:b/>
          <w:color w:val="000000"/>
        </w:rPr>
        <w:tab/>
        <w:t>30 604 tis. Eur,</w:t>
      </w:r>
      <w:r w:rsidRPr="008A38D3">
        <w:rPr>
          <w:rFonts w:ascii="Arial" w:hAnsi="Arial"/>
          <w:b/>
          <w:color w:val="000000"/>
        </w:rPr>
        <w:br/>
      </w:r>
      <w:r w:rsidRPr="008A38D3">
        <w:rPr>
          <w:rFonts w:ascii="Arial" w:hAnsi="Arial"/>
          <w:color w:val="000000"/>
          <w:szCs w:val="20"/>
        </w:rPr>
        <w:t xml:space="preserve">čo je 61,11 % </w:t>
      </w:r>
      <w:r w:rsidRPr="008A38D3">
        <w:rPr>
          <w:rFonts w:ascii="Arial" w:hAnsi="Arial"/>
          <w:szCs w:val="20"/>
        </w:rPr>
        <w:t xml:space="preserve">rozpočtu </w:t>
      </w:r>
      <w:r w:rsidRPr="008A38D3">
        <w:rPr>
          <w:rFonts w:ascii="Arial" w:hAnsi="Arial"/>
          <w:color w:val="000000"/>
          <w:szCs w:val="20"/>
        </w:rPr>
        <w:t>vo výške</w:t>
      </w:r>
      <w:r w:rsidRPr="008A38D3">
        <w:rPr>
          <w:rFonts w:ascii="Arial" w:hAnsi="Arial"/>
          <w:color w:val="000000"/>
          <w:szCs w:val="20"/>
        </w:rPr>
        <w:tab/>
        <w:t>50 082 tis. Eur</w:t>
      </w:r>
      <w:r w:rsidRPr="008A38D3">
        <w:rPr>
          <w:rFonts w:ascii="Arial" w:hAnsi="Arial"/>
          <w:szCs w:val="20"/>
        </w:rPr>
        <w:br/>
        <w:t>a 74,30 % časového rozpisu vo výške</w:t>
      </w:r>
      <w:r w:rsidRPr="008A38D3">
        <w:rPr>
          <w:rFonts w:ascii="Arial" w:hAnsi="Arial"/>
          <w:szCs w:val="20"/>
        </w:rPr>
        <w:tab/>
        <w:t>41 188 tis. Eur.</w:t>
      </w:r>
    </w:p>
    <w:p w:rsidR="008A38D3" w:rsidRPr="008A38D3" w:rsidRDefault="008A38D3" w:rsidP="008A38D3">
      <w:pPr>
        <w:tabs>
          <w:tab w:val="num" w:pos="1068"/>
          <w:tab w:val="left" w:pos="3960"/>
        </w:tabs>
        <w:spacing w:before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V uvedenej sume výdavkov sú zahrnuté:</w:t>
      </w:r>
    </w:p>
    <w:p w:rsidR="008A38D3" w:rsidRPr="008A38D3" w:rsidRDefault="008A38D3" w:rsidP="008A38D3">
      <w:pPr>
        <w:numPr>
          <w:ilvl w:val="0"/>
          <w:numId w:val="5"/>
        </w:numPr>
        <w:tabs>
          <w:tab w:val="decimal" w:pos="8280"/>
        </w:tabs>
        <w:ind w:left="0" w:firstLine="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 xml:space="preserve">výdavky na dávku garančného poistenia </w:t>
      </w:r>
      <w:r w:rsidRPr="008A38D3">
        <w:rPr>
          <w:rFonts w:ascii="Arial" w:hAnsi="Arial"/>
          <w:szCs w:val="20"/>
        </w:rPr>
        <w:tab/>
        <w:t>4 493 tis. Eur,</w:t>
      </w:r>
    </w:p>
    <w:p w:rsidR="008A38D3" w:rsidRPr="008A38D3" w:rsidRDefault="008A38D3" w:rsidP="008A38D3">
      <w:pPr>
        <w:numPr>
          <w:ilvl w:val="0"/>
          <w:numId w:val="5"/>
        </w:numPr>
        <w:tabs>
          <w:tab w:val="decimal" w:pos="8280"/>
        </w:tabs>
        <w:spacing w:after="120"/>
        <w:ind w:left="720" w:hanging="720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 xml:space="preserve">výdavky na úhradu príspevkov na SDS, ktoré nezaplatil </w:t>
      </w:r>
      <w:r w:rsidRPr="008A38D3">
        <w:rPr>
          <w:rFonts w:ascii="Arial" w:hAnsi="Arial"/>
          <w:szCs w:val="20"/>
        </w:rPr>
        <w:br/>
        <w:t xml:space="preserve">zamestnávateľ do základného fondu príspevkov na SDS </w:t>
      </w:r>
      <w:r w:rsidRPr="008A38D3">
        <w:rPr>
          <w:rFonts w:ascii="Arial" w:hAnsi="Arial"/>
          <w:szCs w:val="20"/>
        </w:rPr>
        <w:br/>
        <w:t xml:space="preserve">do 60 dní odo dňa ich splatnosti  </w:t>
      </w:r>
      <w:r w:rsidRPr="008A38D3">
        <w:rPr>
          <w:rFonts w:ascii="Arial" w:hAnsi="Arial"/>
          <w:szCs w:val="20"/>
        </w:rPr>
        <w:tab/>
        <w:t xml:space="preserve">26 111 tis. Eur. </w:t>
      </w:r>
    </w:p>
    <w:p w:rsidR="008A38D3" w:rsidRPr="008A38D3" w:rsidRDefault="008A38D3" w:rsidP="008A38D3">
      <w:pPr>
        <w:tabs>
          <w:tab w:val="left" w:pos="3960"/>
          <w:tab w:val="left" w:pos="5040"/>
          <w:tab w:val="left" w:pos="7380"/>
          <w:tab w:val="left" w:pos="9072"/>
        </w:tabs>
        <w:spacing w:before="240"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Výdavky základného fondu garančného poistenia boli v mesiacoch január až október 2011 nižšie v porovnaní s časovým rozpisom o 10 584 tis. Eur a v porovnaní s rovnakým obdobím roka 2010 o 7 282 tis. Eur.</w:t>
      </w:r>
    </w:p>
    <w:p w:rsidR="008A38D3" w:rsidRPr="008A38D3" w:rsidRDefault="008A38D3" w:rsidP="008A38D3">
      <w:pPr>
        <w:spacing w:before="240"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V sledovanom období roka 2011 bola priemerná mesačná výška dávky garančného poistenia 1 047 Eur a priemerný mesačný počet prípadov vyplatenej dávky bol 429 prípadov.</w:t>
      </w:r>
    </w:p>
    <w:p w:rsidR="008A38D3" w:rsidRPr="008A38D3" w:rsidRDefault="008A38D3" w:rsidP="008A38D3">
      <w:pPr>
        <w:tabs>
          <w:tab w:val="left" w:pos="720"/>
          <w:tab w:val="num" w:pos="1440"/>
          <w:tab w:val="decimal" w:pos="8100"/>
        </w:tabs>
        <w:spacing w:before="240" w:after="120"/>
        <w:rPr>
          <w:rFonts w:ascii="Arial" w:hAnsi="Arial"/>
          <w:szCs w:val="20"/>
        </w:rPr>
      </w:pPr>
      <w:r w:rsidRPr="008A38D3">
        <w:rPr>
          <w:rFonts w:ascii="Arial" w:hAnsi="Arial"/>
          <w:b/>
          <w:szCs w:val="20"/>
        </w:rPr>
        <w:t>3.5.</w:t>
      </w:r>
      <w:r w:rsidRPr="008A38D3">
        <w:rPr>
          <w:rFonts w:ascii="Arial" w:hAnsi="Arial"/>
          <w:b/>
          <w:szCs w:val="20"/>
        </w:rPr>
        <w:tab/>
        <w:t xml:space="preserve">Výdavky základného fondu poistenia </w:t>
      </w:r>
      <w:r w:rsidRPr="008A38D3">
        <w:rPr>
          <w:rFonts w:ascii="Arial" w:hAnsi="Arial"/>
          <w:b/>
          <w:szCs w:val="20"/>
        </w:rPr>
        <w:br/>
        <w:t>v nezamestnanosti</w:t>
      </w:r>
      <w:r w:rsidRPr="008A38D3">
        <w:rPr>
          <w:rFonts w:ascii="Arial" w:hAnsi="Arial"/>
          <w:b/>
          <w:szCs w:val="20"/>
        </w:rPr>
        <w:tab/>
        <w:t>134 864 tis. Eur,</w:t>
      </w:r>
      <w:r w:rsidRPr="008A38D3">
        <w:rPr>
          <w:rFonts w:ascii="Arial" w:hAnsi="Arial"/>
          <w:b/>
          <w:szCs w:val="20"/>
        </w:rPr>
        <w:br/>
      </w:r>
      <w:r w:rsidRPr="008A38D3">
        <w:rPr>
          <w:rFonts w:ascii="Arial" w:hAnsi="Arial"/>
          <w:color w:val="000000"/>
          <w:szCs w:val="20"/>
        </w:rPr>
        <w:t xml:space="preserve">čo je 67,45 % upraveného </w:t>
      </w:r>
      <w:r w:rsidRPr="008A38D3">
        <w:rPr>
          <w:rFonts w:ascii="Arial" w:hAnsi="Arial"/>
          <w:szCs w:val="20"/>
        </w:rPr>
        <w:t xml:space="preserve">rozpočtu </w:t>
      </w:r>
      <w:r w:rsidRPr="008A38D3">
        <w:rPr>
          <w:rFonts w:ascii="Arial" w:hAnsi="Arial"/>
          <w:color w:val="000000"/>
          <w:szCs w:val="20"/>
        </w:rPr>
        <w:t>vo výške</w:t>
      </w:r>
      <w:r w:rsidRPr="008A38D3">
        <w:rPr>
          <w:rFonts w:ascii="Arial" w:hAnsi="Arial"/>
          <w:color w:val="000000"/>
          <w:szCs w:val="20"/>
        </w:rPr>
        <w:tab/>
        <w:t>199 953 tis. Eur</w:t>
      </w:r>
      <w:r w:rsidRPr="008A38D3">
        <w:rPr>
          <w:rFonts w:ascii="Arial" w:hAnsi="Arial"/>
          <w:szCs w:val="20"/>
        </w:rPr>
        <w:br/>
        <w:t>a 80,32 % časového rozpisu vo výške</w:t>
      </w:r>
      <w:r w:rsidRPr="008A38D3">
        <w:rPr>
          <w:rFonts w:ascii="Arial" w:hAnsi="Arial"/>
          <w:szCs w:val="20"/>
        </w:rPr>
        <w:tab/>
        <w:t>167 906 tis. Eur.</w:t>
      </w:r>
    </w:p>
    <w:p w:rsidR="008A38D3" w:rsidRPr="008A38D3" w:rsidRDefault="008A38D3" w:rsidP="008A38D3">
      <w:pPr>
        <w:tabs>
          <w:tab w:val="decimal" w:pos="8222"/>
        </w:tabs>
        <w:spacing w:before="120"/>
        <w:ind w:firstLine="720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V uvedenej sume výdavkov sú zahrnuté:</w:t>
      </w:r>
    </w:p>
    <w:p w:rsidR="008A38D3" w:rsidRPr="008A38D3" w:rsidRDefault="008A38D3" w:rsidP="008A38D3">
      <w:pPr>
        <w:numPr>
          <w:ilvl w:val="0"/>
          <w:numId w:val="4"/>
        </w:numPr>
        <w:tabs>
          <w:tab w:val="decimal" w:pos="8222"/>
        </w:tabs>
        <w:ind w:hanging="720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výdavky na dávku v nezamestnanosti</w:t>
      </w:r>
      <w:r w:rsidRPr="008A38D3">
        <w:rPr>
          <w:rFonts w:ascii="Arial" w:hAnsi="Arial"/>
          <w:szCs w:val="20"/>
        </w:rPr>
        <w:tab/>
        <w:t>135 045 tis. Eur,</w:t>
      </w:r>
    </w:p>
    <w:p w:rsidR="008A38D3" w:rsidRPr="008A38D3" w:rsidRDefault="008A38D3" w:rsidP="008A38D3">
      <w:pPr>
        <w:numPr>
          <w:ilvl w:val="0"/>
          <w:numId w:val="4"/>
        </w:numPr>
        <w:tabs>
          <w:tab w:val="decimal" w:pos="8222"/>
        </w:tabs>
        <w:ind w:hanging="720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refundácia dávky v nezamestnanosti štátom v EÚ</w:t>
      </w:r>
      <w:r w:rsidRPr="008A38D3">
        <w:rPr>
          <w:rFonts w:ascii="Arial" w:hAnsi="Arial"/>
          <w:szCs w:val="20"/>
        </w:rPr>
        <w:tab/>
        <w:t>11 tis. Eur,</w:t>
      </w:r>
    </w:p>
    <w:p w:rsidR="008A38D3" w:rsidRPr="008A38D3" w:rsidRDefault="008A38D3" w:rsidP="008A38D3">
      <w:pPr>
        <w:numPr>
          <w:ilvl w:val="0"/>
          <w:numId w:val="4"/>
        </w:numPr>
        <w:tabs>
          <w:tab w:val="decimal" w:pos="8222"/>
        </w:tabs>
        <w:spacing w:after="120"/>
        <w:ind w:hanging="720"/>
        <w:rPr>
          <w:rFonts w:ascii="Arial" w:hAnsi="Arial"/>
          <w:snapToGrid w:val="0"/>
          <w:szCs w:val="20"/>
        </w:rPr>
      </w:pPr>
      <w:r w:rsidRPr="008A38D3">
        <w:rPr>
          <w:rFonts w:ascii="Arial" w:hAnsi="Arial"/>
          <w:snapToGrid w:val="0"/>
          <w:szCs w:val="20"/>
        </w:rPr>
        <w:t>zúčtovanie dôchodkových dávok</w:t>
      </w:r>
      <w:r w:rsidRPr="008A38D3">
        <w:rPr>
          <w:rFonts w:ascii="Arial" w:hAnsi="Arial"/>
          <w:snapToGrid w:val="0"/>
          <w:szCs w:val="20"/>
        </w:rPr>
        <w:tab/>
        <w:t>-192 tis. Eur.</w:t>
      </w:r>
    </w:p>
    <w:p w:rsidR="008A38D3" w:rsidRPr="008A38D3" w:rsidRDefault="008A38D3" w:rsidP="008A38D3">
      <w:pPr>
        <w:spacing w:before="240" w:after="120"/>
        <w:ind w:firstLine="709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V porovnaní s časovým rozpisom sú výdavky základného fondu poistenia v nezamestnanosti nižšie o 33 042 tis. Eur. V porovnaní s rovnakým obdobím roka 2010 boli výdavky základného fondu poistenia v nezamestnanosti vyššie o 7 528 tis. Eur (index 105,91 %).</w:t>
      </w:r>
    </w:p>
    <w:p w:rsidR="008A38D3" w:rsidRPr="008A38D3" w:rsidRDefault="008A38D3" w:rsidP="008A38D3">
      <w:pPr>
        <w:spacing w:before="240" w:after="120"/>
        <w:ind w:firstLine="709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lastRenderedPageBreak/>
        <w:t xml:space="preserve">V mesiacoch január až október 2011 bola priemerná  mesačná výška dávky v nezamestnanosti na 1 poberateľa 319 Eur (nárast výšky dávky oproti predpokladu zapracovanom v rozpočte o 15 Eur a oproti rovnakému obdobiu roka 2010 o 30 Eur) a priemerný mesačný počet poberateľov vyplatenej dávky bol 42 327 (pokles poberateľov oproti predpokladu zapracovanom v rozpočte o 12 455 a oproti rovnakému obdobiu roka 2010 o 1 834).  </w:t>
      </w:r>
    </w:p>
    <w:p w:rsidR="008A38D3" w:rsidRPr="008A38D3" w:rsidRDefault="008A38D3" w:rsidP="008A38D3">
      <w:pPr>
        <w:numPr>
          <w:ilvl w:val="1"/>
          <w:numId w:val="8"/>
        </w:numPr>
        <w:tabs>
          <w:tab w:val="decimal" w:pos="8222"/>
        </w:tabs>
        <w:spacing w:before="240" w:after="120"/>
        <w:rPr>
          <w:rFonts w:ascii="Arial" w:hAnsi="Arial" w:cs="Arial"/>
          <w:b/>
          <w:szCs w:val="20"/>
        </w:rPr>
      </w:pPr>
      <w:r w:rsidRPr="008A38D3">
        <w:rPr>
          <w:rFonts w:ascii="Arial" w:hAnsi="Arial" w:cs="Arial"/>
          <w:b/>
          <w:szCs w:val="20"/>
        </w:rPr>
        <w:t>Výdavky (náklady) správneho fondu</w:t>
      </w:r>
    </w:p>
    <w:p w:rsidR="008A38D3" w:rsidRPr="008A38D3" w:rsidRDefault="008A38D3" w:rsidP="008A38D3">
      <w:pPr>
        <w:spacing w:before="240" w:after="120"/>
        <w:ind w:firstLine="680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V schválenom rozpočte na rok 2011 sa predpokladá použitie správneho fondu v sume </w:t>
      </w:r>
      <w:r w:rsidRPr="008A38D3">
        <w:rPr>
          <w:rFonts w:ascii="Arial" w:hAnsi="Arial" w:cs="Arial"/>
          <w:b/>
          <w:szCs w:val="20"/>
        </w:rPr>
        <w:t>135 470 tis. Eur.</w:t>
      </w:r>
      <w:r w:rsidRPr="008A38D3">
        <w:rPr>
          <w:rFonts w:ascii="Arial" w:hAnsi="Arial" w:cs="Arial"/>
          <w:szCs w:val="20"/>
        </w:rPr>
        <w:t xml:space="preserve"> </w:t>
      </w:r>
    </w:p>
    <w:p w:rsidR="008A38D3" w:rsidRPr="008A38D3" w:rsidRDefault="008A38D3" w:rsidP="008A38D3">
      <w:pPr>
        <w:spacing w:before="240" w:after="120"/>
        <w:ind w:firstLine="680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Zámerom Sociálnej poisťovne v roku 2011 je zefektívnenie činnosti a procesov vo všetkých oblastiach výkonu tak, aby náklady správneho fondu boli vo výške tvorby správneho fondu v roku 2011. Tento zámer bol schválený v cieľovom rozpise rozpočtu správneho fondu, ktorý je stanovený vo výške </w:t>
      </w:r>
      <w:r w:rsidRPr="008A38D3">
        <w:rPr>
          <w:rFonts w:ascii="Arial" w:hAnsi="Arial" w:cs="Arial"/>
          <w:b/>
          <w:szCs w:val="20"/>
        </w:rPr>
        <w:t>119 303 tis. Eur</w:t>
      </w:r>
      <w:r w:rsidRPr="008A38D3">
        <w:rPr>
          <w:rFonts w:ascii="Arial" w:hAnsi="Arial" w:cs="Arial"/>
          <w:szCs w:val="20"/>
        </w:rPr>
        <w:t>, čo predstavuje 88 % zo schváleného rozpočtu a zodpovedá v rozpočte kvantifikovanej tvorbe správneho fondu v bežnom roku.</w:t>
      </w:r>
    </w:p>
    <w:p w:rsidR="008A38D3" w:rsidRPr="008A38D3" w:rsidRDefault="008A38D3" w:rsidP="008A38D3">
      <w:pPr>
        <w:tabs>
          <w:tab w:val="right" w:pos="8931"/>
        </w:tabs>
        <w:spacing w:before="240" w:after="120"/>
        <w:ind w:firstLine="72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>Použitie finančných prostriedkov správneho fondu za obdobie január až október 2011 je uvedené v nasledujúcom prehľade:</w:t>
      </w:r>
    </w:p>
    <w:p w:rsidR="008A38D3" w:rsidRPr="008A38D3" w:rsidRDefault="008A38D3" w:rsidP="008A38D3">
      <w:pPr>
        <w:tabs>
          <w:tab w:val="right" w:pos="8931"/>
        </w:tabs>
        <w:spacing w:before="240" w:after="120"/>
        <w:jc w:val="both"/>
        <w:rPr>
          <w:rFonts w:ascii="Arial" w:hAnsi="Arial" w:cs="Arial"/>
        </w:rPr>
      </w:pPr>
      <w:r w:rsidRPr="008A38D3">
        <w:rPr>
          <w:rFonts w:ascii="Arial" w:hAnsi="Arial"/>
          <w:noProof/>
          <w:szCs w:val="20"/>
        </w:rPr>
        <w:drawing>
          <wp:inline distT="0" distB="0" distL="0" distR="0" wp14:anchorId="4FE4CFC1" wp14:editId="18030BD6">
            <wp:extent cx="5760720" cy="2670679"/>
            <wp:effectExtent l="0" t="0" r="0" b="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70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38D3" w:rsidRPr="008A38D3" w:rsidRDefault="008A38D3" w:rsidP="008A38D3">
      <w:pPr>
        <w:tabs>
          <w:tab w:val="right" w:pos="8931"/>
        </w:tabs>
        <w:ind w:firstLine="720"/>
        <w:jc w:val="both"/>
        <w:rPr>
          <w:rFonts w:ascii="Arial" w:hAnsi="Arial" w:cs="Arial"/>
        </w:rPr>
      </w:pPr>
    </w:p>
    <w:p w:rsidR="008A38D3" w:rsidRPr="008A38D3" w:rsidRDefault="008A38D3" w:rsidP="008A38D3">
      <w:pPr>
        <w:tabs>
          <w:tab w:val="right" w:pos="8931"/>
        </w:tabs>
        <w:spacing w:before="240" w:after="120"/>
        <w:outlineLvl w:val="0"/>
        <w:rPr>
          <w:rFonts w:ascii="Arial" w:hAnsi="Arial" w:cs="Arial"/>
          <w:szCs w:val="20"/>
        </w:rPr>
      </w:pPr>
      <w:r w:rsidRPr="008A38D3">
        <w:rPr>
          <w:rFonts w:ascii="Arial" w:hAnsi="Arial" w:cs="Arial"/>
          <w:b/>
          <w:szCs w:val="20"/>
        </w:rPr>
        <w:t>3.6.1     Bežné  výdavky (náklady)</w:t>
      </w:r>
    </w:p>
    <w:p w:rsidR="008A38D3" w:rsidRPr="008A38D3" w:rsidRDefault="008A38D3" w:rsidP="008A38D3">
      <w:pPr>
        <w:tabs>
          <w:tab w:val="decimal" w:pos="8100"/>
        </w:tabs>
        <w:ind w:firstLine="709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Vynaložené finančné prostriedky správneho fondu súvisiace s krytím </w:t>
      </w:r>
      <w:r w:rsidRPr="008A38D3">
        <w:rPr>
          <w:rFonts w:ascii="Arial" w:hAnsi="Arial" w:cs="Arial"/>
          <w:b/>
          <w:szCs w:val="20"/>
        </w:rPr>
        <w:t xml:space="preserve">bežných výdavkov (nákladov) </w:t>
      </w:r>
      <w:r w:rsidRPr="008A38D3">
        <w:rPr>
          <w:rFonts w:ascii="Arial" w:hAnsi="Arial" w:cs="Arial"/>
          <w:szCs w:val="20"/>
        </w:rPr>
        <w:t xml:space="preserve"> boli v sume :</w:t>
      </w:r>
      <w:r w:rsidRPr="008A38D3">
        <w:rPr>
          <w:rFonts w:ascii="Arial" w:hAnsi="Arial" w:cs="Arial"/>
          <w:szCs w:val="20"/>
        </w:rPr>
        <w:tab/>
      </w:r>
      <w:r w:rsidRPr="008A38D3">
        <w:rPr>
          <w:rFonts w:ascii="Arial" w:hAnsi="Arial" w:cs="Arial"/>
          <w:b/>
          <w:szCs w:val="20"/>
        </w:rPr>
        <w:t xml:space="preserve"> 87 989 tis. Eur</w:t>
      </w:r>
      <w:r w:rsidRPr="008A38D3">
        <w:rPr>
          <w:rFonts w:ascii="Arial" w:hAnsi="Arial" w:cs="Arial"/>
          <w:szCs w:val="20"/>
        </w:rPr>
        <w:t>,</w:t>
      </w:r>
      <w:r w:rsidRPr="008A38D3">
        <w:rPr>
          <w:rFonts w:ascii="Arial" w:hAnsi="Arial" w:cs="Arial"/>
          <w:b/>
          <w:szCs w:val="20"/>
        </w:rPr>
        <w:br/>
      </w:r>
      <w:r w:rsidRPr="008A38D3">
        <w:rPr>
          <w:rFonts w:ascii="Arial" w:hAnsi="Arial" w:cs="Arial"/>
          <w:szCs w:val="20"/>
        </w:rPr>
        <w:t>v tom:</w:t>
      </w:r>
    </w:p>
    <w:p w:rsidR="008A38D3" w:rsidRPr="008A38D3" w:rsidRDefault="008A38D3" w:rsidP="008A38D3">
      <w:pPr>
        <w:numPr>
          <w:ilvl w:val="0"/>
          <w:numId w:val="10"/>
        </w:numPr>
        <w:tabs>
          <w:tab w:val="decimal" w:pos="8100"/>
        </w:tabs>
        <w:ind w:left="646" w:hanging="646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ústredie  </w:t>
      </w:r>
      <w:r w:rsidRPr="008A38D3">
        <w:rPr>
          <w:rFonts w:ascii="Arial" w:hAnsi="Arial" w:cs="Arial"/>
          <w:szCs w:val="20"/>
        </w:rPr>
        <w:tab/>
        <w:t xml:space="preserve">  37 172 tis. Eur,  </w:t>
      </w:r>
    </w:p>
    <w:p w:rsidR="008A38D3" w:rsidRPr="008A38D3" w:rsidRDefault="008A38D3" w:rsidP="008A38D3">
      <w:pPr>
        <w:numPr>
          <w:ilvl w:val="0"/>
          <w:numId w:val="10"/>
        </w:numPr>
        <w:tabs>
          <w:tab w:val="decimal" w:pos="8100"/>
        </w:tabs>
        <w:ind w:hanging="644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pobočky   </w:t>
      </w:r>
      <w:r w:rsidRPr="008A38D3">
        <w:rPr>
          <w:rFonts w:ascii="Arial" w:hAnsi="Arial" w:cs="Arial"/>
          <w:szCs w:val="20"/>
        </w:rPr>
        <w:tab/>
        <w:t xml:space="preserve">  50 817 tis. Eur.</w:t>
      </w:r>
    </w:p>
    <w:p w:rsidR="008A38D3" w:rsidRPr="008A38D3" w:rsidRDefault="008A38D3" w:rsidP="008A38D3">
      <w:pPr>
        <w:tabs>
          <w:tab w:val="right" w:pos="8640"/>
        </w:tabs>
        <w:spacing w:before="240" w:after="120"/>
        <w:ind w:left="284"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Podiel bežných výdavkov (náklady) v sume 87 989 tis. Eur na celkových použitých prostriedkoch  správneho fondu v sume 88 525 tis. Eur za obdobie január až október 2011 je </w:t>
      </w:r>
      <w:r w:rsidRPr="008A38D3">
        <w:rPr>
          <w:rFonts w:ascii="Arial" w:hAnsi="Arial" w:cs="Arial"/>
          <w:b/>
          <w:szCs w:val="20"/>
        </w:rPr>
        <w:t>99,39 %</w:t>
      </w:r>
      <w:r w:rsidRPr="008A38D3">
        <w:rPr>
          <w:rFonts w:ascii="Arial" w:hAnsi="Arial" w:cs="Arial"/>
          <w:szCs w:val="20"/>
        </w:rPr>
        <w:t>.</w:t>
      </w:r>
    </w:p>
    <w:p w:rsidR="008A38D3" w:rsidRPr="008A38D3" w:rsidRDefault="008A38D3" w:rsidP="008A38D3">
      <w:pPr>
        <w:tabs>
          <w:tab w:val="right" w:pos="8640"/>
        </w:tabs>
        <w:spacing w:before="240" w:after="120"/>
        <w:ind w:left="284" w:firstLine="709"/>
        <w:jc w:val="both"/>
        <w:rPr>
          <w:rFonts w:ascii="Arial" w:hAnsi="Arial" w:cs="Arial"/>
          <w:szCs w:val="20"/>
        </w:rPr>
      </w:pPr>
    </w:p>
    <w:p w:rsidR="008A38D3" w:rsidRPr="008A38D3" w:rsidRDefault="008A38D3" w:rsidP="008A38D3">
      <w:pPr>
        <w:tabs>
          <w:tab w:val="right" w:pos="8640"/>
        </w:tabs>
        <w:spacing w:before="240" w:after="120"/>
        <w:ind w:left="284" w:firstLine="709"/>
        <w:jc w:val="both"/>
        <w:rPr>
          <w:rFonts w:ascii="Arial" w:hAnsi="Arial" w:cs="Arial"/>
          <w:szCs w:val="20"/>
        </w:rPr>
      </w:pPr>
    </w:p>
    <w:p w:rsidR="008A38D3" w:rsidRPr="008A38D3" w:rsidRDefault="008A38D3" w:rsidP="008A38D3">
      <w:pPr>
        <w:tabs>
          <w:tab w:val="left" w:pos="426"/>
        </w:tabs>
        <w:spacing w:after="120"/>
        <w:jc w:val="right"/>
        <w:rPr>
          <w:rFonts w:ascii="Arial" w:hAnsi="Arial" w:cs="Arial"/>
          <w:sz w:val="20"/>
          <w:szCs w:val="20"/>
        </w:rPr>
      </w:pPr>
      <w:r w:rsidRPr="008A38D3">
        <w:rPr>
          <w:rFonts w:ascii="Arial" w:hAnsi="Arial" w:cs="Arial"/>
          <w:sz w:val="20"/>
          <w:szCs w:val="20"/>
        </w:rPr>
        <w:t>v tis. Eur</w:t>
      </w:r>
    </w:p>
    <w:tbl>
      <w:tblPr>
        <w:tblW w:w="90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1771"/>
        <w:gridCol w:w="1843"/>
        <w:gridCol w:w="1843"/>
        <w:gridCol w:w="1203"/>
      </w:tblGrid>
      <w:tr w:rsidR="008A38D3" w:rsidRPr="008A38D3" w:rsidTr="00752E8B">
        <w:tc>
          <w:tcPr>
            <w:tcW w:w="2410" w:type="dxa"/>
            <w:vAlign w:val="center"/>
          </w:tcPr>
          <w:p w:rsidR="008A38D3" w:rsidRPr="008A38D3" w:rsidRDefault="008A38D3" w:rsidP="008A38D3">
            <w:pPr>
              <w:tabs>
                <w:tab w:val="left" w:pos="426"/>
                <w:tab w:val="right" w:pos="9072"/>
              </w:tabs>
              <w:spacing w:after="120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 xml:space="preserve">                 Ukazovateľ</w:t>
            </w:r>
          </w:p>
        </w:tc>
        <w:tc>
          <w:tcPr>
            <w:tcW w:w="1771" w:type="dxa"/>
            <w:vAlign w:val="center"/>
          </w:tcPr>
          <w:p w:rsidR="008A38D3" w:rsidRPr="008A38D3" w:rsidRDefault="008A38D3" w:rsidP="008A38D3">
            <w:pPr>
              <w:tabs>
                <w:tab w:val="right" w:pos="8931"/>
              </w:tabs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 xml:space="preserve">Ústredie, skutočnosť </w:t>
            </w:r>
          </w:p>
          <w:p w:rsidR="008A38D3" w:rsidRPr="008A38D3" w:rsidRDefault="008A38D3" w:rsidP="008A38D3">
            <w:pPr>
              <w:tabs>
                <w:tab w:val="right" w:pos="8931"/>
              </w:tabs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za obdobie január až október 2011</w:t>
            </w:r>
          </w:p>
        </w:tc>
        <w:tc>
          <w:tcPr>
            <w:tcW w:w="1843" w:type="dxa"/>
            <w:vAlign w:val="center"/>
          </w:tcPr>
          <w:p w:rsidR="008A38D3" w:rsidRPr="008A38D3" w:rsidRDefault="008A38D3" w:rsidP="008A38D3">
            <w:pPr>
              <w:tabs>
                <w:tab w:val="right" w:pos="8931"/>
              </w:tabs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 xml:space="preserve"> Pobočky, skutočnosť</w:t>
            </w:r>
          </w:p>
          <w:p w:rsidR="008A38D3" w:rsidRPr="008A38D3" w:rsidRDefault="008A38D3" w:rsidP="008A38D3">
            <w:pPr>
              <w:tabs>
                <w:tab w:val="right" w:pos="8931"/>
              </w:tabs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za obdobie január až október 2011</w:t>
            </w:r>
          </w:p>
        </w:tc>
        <w:tc>
          <w:tcPr>
            <w:tcW w:w="1843" w:type="dxa"/>
            <w:vAlign w:val="center"/>
          </w:tcPr>
          <w:p w:rsidR="008A38D3" w:rsidRPr="008A38D3" w:rsidRDefault="008A38D3" w:rsidP="008A38D3">
            <w:pPr>
              <w:tabs>
                <w:tab w:val="right" w:pos="8931"/>
              </w:tabs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 xml:space="preserve">Spolu skutočnosť </w:t>
            </w:r>
          </w:p>
          <w:p w:rsidR="008A38D3" w:rsidRPr="008A38D3" w:rsidRDefault="008A38D3" w:rsidP="008A38D3">
            <w:pPr>
              <w:tabs>
                <w:tab w:val="right" w:pos="8931"/>
              </w:tabs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za obdobie január až október 2011</w:t>
            </w:r>
          </w:p>
        </w:tc>
        <w:tc>
          <w:tcPr>
            <w:tcW w:w="1203" w:type="dxa"/>
            <w:vAlign w:val="center"/>
          </w:tcPr>
          <w:p w:rsidR="008A38D3" w:rsidRPr="008A38D3" w:rsidRDefault="008A38D3" w:rsidP="008A38D3">
            <w:pPr>
              <w:tabs>
                <w:tab w:val="left" w:pos="426"/>
                <w:tab w:val="right" w:pos="9072"/>
              </w:tabs>
              <w:spacing w:after="120"/>
              <w:ind w:left="283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6"/>
                <w:szCs w:val="16"/>
              </w:rPr>
              <w:t>Podiel v %</w:t>
            </w:r>
          </w:p>
        </w:tc>
      </w:tr>
      <w:tr w:rsidR="008A38D3" w:rsidRPr="008A38D3" w:rsidTr="00752E8B"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8A38D3" w:rsidRPr="008A38D3" w:rsidRDefault="008A38D3" w:rsidP="008A38D3">
            <w:pPr>
              <w:tabs>
                <w:tab w:val="left" w:pos="426"/>
                <w:tab w:val="right" w:pos="9072"/>
              </w:tabs>
              <w:ind w:left="284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a</w:t>
            </w:r>
          </w:p>
        </w:tc>
        <w:tc>
          <w:tcPr>
            <w:tcW w:w="1771" w:type="dxa"/>
            <w:tcBorders>
              <w:bottom w:val="single" w:sz="4" w:space="0" w:color="auto"/>
            </w:tcBorders>
            <w:vAlign w:val="center"/>
          </w:tcPr>
          <w:p w:rsidR="008A38D3" w:rsidRPr="008A38D3" w:rsidRDefault="008A38D3" w:rsidP="008A38D3">
            <w:pPr>
              <w:tabs>
                <w:tab w:val="left" w:pos="426"/>
                <w:tab w:val="right" w:pos="9072"/>
              </w:tabs>
              <w:ind w:left="284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vAlign w:val="center"/>
          </w:tcPr>
          <w:p w:rsidR="008A38D3" w:rsidRPr="008A38D3" w:rsidRDefault="008A38D3" w:rsidP="008A38D3">
            <w:pPr>
              <w:tabs>
                <w:tab w:val="left" w:pos="426"/>
                <w:tab w:val="right" w:pos="9072"/>
              </w:tabs>
              <w:ind w:left="284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vAlign w:val="center"/>
          </w:tcPr>
          <w:p w:rsidR="008A38D3" w:rsidRPr="008A38D3" w:rsidRDefault="008A38D3" w:rsidP="008A38D3">
            <w:pPr>
              <w:tabs>
                <w:tab w:val="left" w:pos="426"/>
                <w:tab w:val="right" w:pos="9072"/>
              </w:tabs>
              <w:ind w:left="284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203" w:type="dxa"/>
            <w:tcBorders>
              <w:bottom w:val="single" w:sz="4" w:space="0" w:color="auto"/>
            </w:tcBorders>
            <w:vAlign w:val="center"/>
          </w:tcPr>
          <w:p w:rsidR="008A38D3" w:rsidRPr="008A38D3" w:rsidRDefault="008A38D3" w:rsidP="008A38D3">
            <w:pPr>
              <w:tabs>
                <w:tab w:val="left" w:pos="426"/>
                <w:tab w:val="right" w:pos="9072"/>
              </w:tabs>
              <w:ind w:left="284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</w:t>
            </w:r>
          </w:p>
        </w:tc>
      </w:tr>
      <w:tr w:rsidR="008A38D3" w:rsidRPr="008A38D3" w:rsidTr="00752E8B">
        <w:trPr>
          <w:trHeight w:val="206"/>
        </w:trPr>
        <w:tc>
          <w:tcPr>
            <w:tcW w:w="2410" w:type="dxa"/>
            <w:tcBorders>
              <w:top w:val="nil"/>
              <w:bottom w:val="nil"/>
            </w:tcBorders>
            <w:vAlign w:val="bottom"/>
          </w:tcPr>
          <w:p w:rsidR="008A38D3" w:rsidRPr="008A38D3" w:rsidRDefault="008A38D3" w:rsidP="008A38D3">
            <w:pPr>
              <w:tabs>
                <w:tab w:val="left" w:pos="426"/>
                <w:tab w:val="right" w:pos="9072"/>
              </w:tabs>
              <w:spacing w:after="120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Bežné výdavky (náklady)</w:t>
            </w:r>
          </w:p>
        </w:tc>
        <w:tc>
          <w:tcPr>
            <w:tcW w:w="1771" w:type="dxa"/>
            <w:tcBorders>
              <w:top w:val="nil"/>
              <w:bottom w:val="nil"/>
            </w:tcBorders>
            <w:vAlign w:val="bottom"/>
          </w:tcPr>
          <w:p w:rsidR="008A38D3" w:rsidRPr="008A38D3" w:rsidRDefault="008A38D3" w:rsidP="008A38D3">
            <w:pPr>
              <w:tabs>
                <w:tab w:val="right" w:pos="9072"/>
              </w:tabs>
              <w:spacing w:before="60" w:after="60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37 172</w:t>
            </w:r>
          </w:p>
        </w:tc>
        <w:tc>
          <w:tcPr>
            <w:tcW w:w="1843" w:type="dxa"/>
            <w:tcBorders>
              <w:top w:val="nil"/>
              <w:bottom w:val="nil"/>
            </w:tcBorders>
            <w:vAlign w:val="bottom"/>
          </w:tcPr>
          <w:p w:rsidR="008A38D3" w:rsidRPr="008A38D3" w:rsidRDefault="008A38D3" w:rsidP="008A38D3">
            <w:pPr>
              <w:tabs>
                <w:tab w:val="right" w:pos="9072"/>
              </w:tabs>
              <w:spacing w:before="60" w:after="60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50 817</w:t>
            </w:r>
          </w:p>
        </w:tc>
        <w:tc>
          <w:tcPr>
            <w:tcW w:w="1843" w:type="dxa"/>
            <w:tcBorders>
              <w:top w:val="nil"/>
              <w:bottom w:val="nil"/>
            </w:tcBorders>
            <w:vAlign w:val="bottom"/>
          </w:tcPr>
          <w:p w:rsidR="008A38D3" w:rsidRPr="008A38D3" w:rsidRDefault="008A38D3" w:rsidP="008A38D3">
            <w:pPr>
              <w:tabs>
                <w:tab w:val="right" w:pos="9072"/>
              </w:tabs>
              <w:spacing w:before="60" w:after="60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87 989</w:t>
            </w:r>
          </w:p>
        </w:tc>
        <w:tc>
          <w:tcPr>
            <w:tcW w:w="1203" w:type="dxa"/>
            <w:tcBorders>
              <w:top w:val="nil"/>
              <w:bottom w:val="nil"/>
            </w:tcBorders>
            <w:vAlign w:val="bottom"/>
          </w:tcPr>
          <w:p w:rsidR="008A38D3" w:rsidRPr="008A38D3" w:rsidRDefault="008A38D3" w:rsidP="008A38D3">
            <w:pPr>
              <w:tabs>
                <w:tab w:val="right" w:pos="9072"/>
              </w:tabs>
              <w:spacing w:before="60" w:after="60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99,39</w:t>
            </w:r>
          </w:p>
        </w:tc>
      </w:tr>
      <w:tr w:rsidR="008A38D3" w:rsidRPr="008A38D3" w:rsidTr="00752E8B">
        <w:trPr>
          <w:trHeight w:val="80"/>
        </w:trPr>
        <w:tc>
          <w:tcPr>
            <w:tcW w:w="2410" w:type="dxa"/>
            <w:tcBorders>
              <w:top w:val="nil"/>
              <w:bottom w:val="nil"/>
            </w:tcBorders>
            <w:vAlign w:val="bottom"/>
          </w:tcPr>
          <w:p w:rsidR="008A38D3" w:rsidRPr="008A38D3" w:rsidRDefault="008A38D3" w:rsidP="008A38D3">
            <w:pPr>
              <w:tabs>
                <w:tab w:val="left" w:pos="426"/>
                <w:tab w:val="right" w:pos="9072"/>
              </w:tabs>
              <w:spacing w:after="120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Kapitálové výdavky</w:t>
            </w:r>
          </w:p>
        </w:tc>
        <w:tc>
          <w:tcPr>
            <w:tcW w:w="1771" w:type="dxa"/>
            <w:tcBorders>
              <w:top w:val="nil"/>
              <w:bottom w:val="nil"/>
            </w:tcBorders>
            <w:vAlign w:val="bottom"/>
          </w:tcPr>
          <w:p w:rsidR="008A38D3" w:rsidRPr="008A38D3" w:rsidRDefault="008A38D3" w:rsidP="008A38D3">
            <w:pPr>
              <w:tabs>
                <w:tab w:val="right" w:pos="9072"/>
              </w:tabs>
              <w:spacing w:before="60" w:after="60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 xml:space="preserve">536  </w:t>
            </w:r>
          </w:p>
        </w:tc>
        <w:tc>
          <w:tcPr>
            <w:tcW w:w="1843" w:type="dxa"/>
            <w:tcBorders>
              <w:top w:val="nil"/>
              <w:bottom w:val="nil"/>
            </w:tcBorders>
            <w:vAlign w:val="bottom"/>
          </w:tcPr>
          <w:p w:rsidR="008A38D3" w:rsidRPr="008A38D3" w:rsidRDefault="008A38D3" w:rsidP="008A38D3">
            <w:pPr>
              <w:tabs>
                <w:tab w:val="right" w:pos="9072"/>
              </w:tabs>
              <w:spacing w:before="60" w:after="60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 xml:space="preserve">       - </w:t>
            </w:r>
          </w:p>
        </w:tc>
        <w:tc>
          <w:tcPr>
            <w:tcW w:w="1843" w:type="dxa"/>
            <w:tcBorders>
              <w:top w:val="nil"/>
              <w:bottom w:val="nil"/>
            </w:tcBorders>
            <w:vAlign w:val="bottom"/>
          </w:tcPr>
          <w:p w:rsidR="008A38D3" w:rsidRPr="008A38D3" w:rsidRDefault="008A38D3" w:rsidP="008A38D3">
            <w:pPr>
              <w:tabs>
                <w:tab w:val="right" w:pos="9072"/>
              </w:tabs>
              <w:spacing w:before="60" w:after="60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 xml:space="preserve">   536</w:t>
            </w:r>
          </w:p>
        </w:tc>
        <w:tc>
          <w:tcPr>
            <w:tcW w:w="1203" w:type="dxa"/>
            <w:tcBorders>
              <w:top w:val="nil"/>
              <w:bottom w:val="nil"/>
            </w:tcBorders>
            <w:vAlign w:val="bottom"/>
          </w:tcPr>
          <w:p w:rsidR="008A38D3" w:rsidRPr="008A38D3" w:rsidRDefault="008A38D3" w:rsidP="008A38D3">
            <w:pPr>
              <w:tabs>
                <w:tab w:val="right" w:pos="9072"/>
              </w:tabs>
              <w:spacing w:before="60" w:after="60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 xml:space="preserve">    0,61</w:t>
            </w:r>
          </w:p>
        </w:tc>
      </w:tr>
      <w:tr w:rsidR="008A38D3" w:rsidRPr="008A38D3" w:rsidTr="00752E8B">
        <w:tc>
          <w:tcPr>
            <w:tcW w:w="2410" w:type="dxa"/>
            <w:tcBorders>
              <w:top w:val="nil"/>
            </w:tcBorders>
            <w:vAlign w:val="bottom"/>
          </w:tcPr>
          <w:p w:rsidR="008A38D3" w:rsidRPr="008A38D3" w:rsidRDefault="008A38D3" w:rsidP="008A38D3">
            <w:pPr>
              <w:tabs>
                <w:tab w:val="left" w:pos="426"/>
                <w:tab w:val="right" w:pos="9072"/>
              </w:tabs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8A38D3">
              <w:rPr>
                <w:rFonts w:ascii="Arial" w:hAnsi="Arial" w:cs="Arial"/>
                <w:b/>
                <w:sz w:val="20"/>
                <w:szCs w:val="20"/>
              </w:rPr>
              <w:t>Správny fond spolu</w:t>
            </w:r>
          </w:p>
        </w:tc>
        <w:tc>
          <w:tcPr>
            <w:tcW w:w="1771" w:type="dxa"/>
            <w:tcBorders>
              <w:top w:val="nil"/>
            </w:tcBorders>
            <w:vAlign w:val="bottom"/>
          </w:tcPr>
          <w:p w:rsidR="008A38D3" w:rsidRPr="008A38D3" w:rsidRDefault="008A38D3" w:rsidP="008A38D3">
            <w:pPr>
              <w:tabs>
                <w:tab w:val="right" w:pos="9072"/>
              </w:tabs>
              <w:spacing w:before="60" w:after="60"/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8A38D3">
              <w:rPr>
                <w:rFonts w:ascii="Arial" w:hAnsi="Arial" w:cs="Arial"/>
                <w:b/>
                <w:sz w:val="20"/>
                <w:szCs w:val="20"/>
              </w:rPr>
              <w:t xml:space="preserve">37 708 </w:t>
            </w:r>
          </w:p>
        </w:tc>
        <w:tc>
          <w:tcPr>
            <w:tcW w:w="1843" w:type="dxa"/>
            <w:tcBorders>
              <w:top w:val="nil"/>
            </w:tcBorders>
            <w:vAlign w:val="bottom"/>
          </w:tcPr>
          <w:p w:rsidR="008A38D3" w:rsidRPr="008A38D3" w:rsidRDefault="008A38D3" w:rsidP="008A38D3">
            <w:pPr>
              <w:tabs>
                <w:tab w:val="right" w:pos="9072"/>
              </w:tabs>
              <w:spacing w:before="60" w:after="60"/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8A38D3">
              <w:rPr>
                <w:rFonts w:ascii="Arial" w:hAnsi="Arial" w:cs="Arial"/>
                <w:b/>
                <w:sz w:val="20"/>
                <w:szCs w:val="20"/>
              </w:rPr>
              <w:t>50 817</w:t>
            </w:r>
          </w:p>
        </w:tc>
        <w:tc>
          <w:tcPr>
            <w:tcW w:w="1843" w:type="dxa"/>
            <w:tcBorders>
              <w:top w:val="nil"/>
            </w:tcBorders>
            <w:vAlign w:val="bottom"/>
          </w:tcPr>
          <w:p w:rsidR="008A38D3" w:rsidRPr="008A38D3" w:rsidRDefault="008A38D3" w:rsidP="008A38D3">
            <w:pPr>
              <w:tabs>
                <w:tab w:val="right" w:pos="9072"/>
              </w:tabs>
              <w:spacing w:before="60" w:after="60"/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8A38D3">
              <w:rPr>
                <w:rFonts w:ascii="Arial" w:hAnsi="Arial" w:cs="Arial"/>
                <w:b/>
                <w:sz w:val="20"/>
                <w:szCs w:val="20"/>
              </w:rPr>
              <w:t>88 525</w:t>
            </w:r>
          </w:p>
        </w:tc>
        <w:tc>
          <w:tcPr>
            <w:tcW w:w="1203" w:type="dxa"/>
            <w:tcBorders>
              <w:top w:val="nil"/>
            </w:tcBorders>
            <w:vAlign w:val="bottom"/>
          </w:tcPr>
          <w:p w:rsidR="008A38D3" w:rsidRPr="008A38D3" w:rsidRDefault="008A38D3" w:rsidP="008A38D3">
            <w:pPr>
              <w:tabs>
                <w:tab w:val="right" w:pos="9072"/>
              </w:tabs>
              <w:spacing w:before="60" w:after="60"/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8A38D3">
              <w:rPr>
                <w:rFonts w:ascii="Arial" w:hAnsi="Arial" w:cs="Arial"/>
                <w:b/>
                <w:sz w:val="20"/>
                <w:szCs w:val="20"/>
              </w:rPr>
              <w:t>100,00</w:t>
            </w:r>
          </w:p>
        </w:tc>
      </w:tr>
    </w:tbl>
    <w:p w:rsidR="008A38D3" w:rsidRPr="008A38D3" w:rsidRDefault="008A38D3" w:rsidP="008A38D3">
      <w:pPr>
        <w:tabs>
          <w:tab w:val="right" w:pos="709"/>
          <w:tab w:val="right" w:pos="5670"/>
          <w:tab w:val="right" w:pos="8931"/>
        </w:tabs>
        <w:spacing w:after="120"/>
        <w:rPr>
          <w:rFonts w:ascii="Arial" w:hAnsi="Arial" w:cs="Arial"/>
          <w:sz w:val="20"/>
          <w:szCs w:val="20"/>
        </w:rPr>
      </w:pPr>
    </w:p>
    <w:p w:rsidR="008A38D3" w:rsidRPr="008A38D3" w:rsidRDefault="008A38D3" w:rsidP="008A38D3">
      <w:pPr>
        <w:tabs>
          <w:tab w:val="left" w:pos="709"/>
          <w:tab w:val="right" w:pos="5670"/>
          <w:tab w:val="right" w:pos="9072"/>
        </w:tabs>
        <w:spacing w:before="240" w:after="120"/>
        <w:ind w:firstLine="720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Na celkovom plnení rozpočtu správneho fondu za obdobie január až október 2011 sa podieľali </w:t>
      </w:r>
      <w:r w:rsidRPr="008A38D3">
        <w:rPr>
          <w:rFonts w:ascii="Arial" w:hAnsi="Arial" w:cs="Arial"/>
          <w:b/>
          <w:szCs w:val="20"/>
        </w:rPr>
        <w:t>osobné  náklady vo</w:t>
      </w:r>
      <w:r w:rsidRPr="008A38D3">
        <w:rPr>
          <w:rFonts w:ascii="Arial" w:hAnsi="Arial" w:cs="Arial"/>
          <w:szCs w:val="20"/>
        </w:rPr>
        <w:t xml:space="preserve"> </w:t>
      </w:r>
      <w:r w:rsidRPr="008A38D3">
        <w:rPr>
          <w:rFonts w:ascii="Arial" w:hAnsi="Arial" w:cs="Arial"/>
          <w:b/>
          <w:szCs w:val="20"/>
        </w:rPr>
        <w:t>výške 60 302</w:t>
      </w:r>
      <w:r w:rsidRPr="008A38D3">
        <w:rPr>
          <w:rFonts w:ascii="Arial" w:hAnsi="Arial" w:cs="Arial"/>
          <w:b/>
          <w:color w:val="FF0000"/>
          <w:szCs w:val="20"/>
        </w:rPr>
        <w:t xml:space="preserve"> </w:t>
      </w:r>
      <w:r w:rsidRPr="008A38D3">
        <w:rPr>
          <w:rFonts w:ascii="Arial" w:hAnsi="Arial" w:cs="Arial"/>
          <w:b/>
          <w:szCs w:val="20"/>
        </w:rPr>
        <w:t xml:space="preserve">tis. Eur, </w:t>
      </w:r>
      <w:r w:rsidRPr="008A38D3">
        <w:rPr>
          <w:rFonts w:ascii="Arial" w:hAnsi="Arial" w:cs="Arial"/>
          <w:szCs w:val="20"/>
        </w:rPr>
        <w:t>z toho mzdové prostriedky, poistné a príspevok do poisťovní podľa organizačných zložiek Sociálnej poisťovne boli nasledovné:</w:t>
      </w:r>
    </w:p>
    <w:p w:rsidR="008A38D3" w:rsidRPr="008A38D3" w:rsidRDefault="008A38D3" w:rsidP="008A38D3">
      <w:pPr>
        <w:tabs>
          <w:tab w:val="left" w:pos="426"/>
          <w:tab w:val="left" w:pos="709"/>
          <w:tab w:val="right" w:pos="5670"/>
          <w:tab w:val="right" w:pos="9072"/>
        </w:tabs>
        <w:spacing w:after="120"/>
        <w:ind w:left="284"/>
        <w:jc w:val="center"/>
        <w:rPr>
          <w:rFonts w:ascii="Arial" w:hAnsi="Arial" w:cs="Arial"/>
          <w:sz w:val="20"/>
          <w:szCs w:val="20"/>
        </w:rPr>
      </w:pPr>
      <w:r w:rsidRPr="008A38D3">
        <w:rPr>
          <w:rFonts w:ascii="Arial" w:hAnsi="Arial" w:cs="Arial"/>
          <w:sz w:val="20"/>
          <w:szCs w:val="20"/>
        </w:rPr>
        <w:t xml:space="preserve">                                                                                                                                         v tis. Eur</w:t>
      </w:r>
    </w:p>
    <w:tbl>
      <w:tblPr>
        <w:tblW w:w="937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5"/>
        <w:gridCol w:w="1260"/>
        <w:gridCol w:w="1260"/>
        <w:gridCol w:w="1078"/>
        <w:gridCol w:w="1260"/>
        <w:gridCol w:w="721"/>
        <w:gridCol w:w="721"/>
      </w:tblGrid>
      <w:tr w:rsidR="008A38D3" w:rsidRPr="008A38D3" w:rsidTr="00752E8B">
        <w:trPr>
          <w:trHeight w:val="300"/>
        </w:trPr>
        <w:tc>
          <w:tcPr>
            <w:tcW w:w="307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 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Cieľový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Cieľový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Skutočnosť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Skutočnosť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%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%</w:t>
            </w:r>
          </w:p>
        </w:tc>
      </w:tr>
      <w:tr w:rsidR="008A38D3" w:rsidRPr="008A38D3" w:rsidTr="00752E8B">
        <w:trPr>
          <w:trHeight w:val="300"/>
        </w:trPr>
        <w:tc>
          <w:tcPr>
            <w:tcW w:w="30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Ukazovateľ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rozpis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rozpis</w:t>
            </w:r>
          </w:p>
        </w:tc>
        <w:tc>
          <w:tcPr>
            <w:tcW w:w="1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za mesiac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za obdobie</w:t>
            </w:r>
          </w:p>
        </w:tc>
        <w:tc>
          <w:tcPr>
            <w:tcW w:w="7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plnenia</w:t>
            </w:r>
          </w:p>
        </w:tc>
        <w:tc>
          <w:tcPr>
            <w:tcW w:w="7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plnenia</w:t>
            </w:r>
          </w:p>
        </w:tc>
      </w:tr>
      <w:tr w:rsidR="008A38D3" w:rsidRPr="008A38D3" w:rsidTr="00752E8B">
        <w:trPr>
          <w:trHeight w:val="285"/>
        </w:trPr>
        <w:tc>
          <w:tcPr>
            <w:tcW w:w="30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 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rozpočtu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rozpočtu</w:t>
            </w:r>
          </w:p>
        </w:tc>
        <w:tc>
          <w:tcPr>
            <w:tcW w:w="1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 xml:space="preserve">október 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január až</w:t>
            </w:r>
          </w:p>
        </w:tc>
        <w:tc>
          <w:tcPr>
            <w:tcW w:w="7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(4/1)</w:t>
            </w:r>
          </w:p>
        </w:tc>
        <w:tc>
          <w:tcPr>
            <w:tcW w:w="7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(4/2)</w:t>
            </w:r>
          </w:p>
        </w:tc>
      </w:tr>
      <w:tr w:rsidR="008A38D3" w:rsidRPr="008A38D3" w:rsidTr="00752E8B">
        <w:trPr>
          <w:trHeight w:val="255"/>
        </w:trPr>
        <w:tc>
          <w:tcPr>
            <w:tcW w:w="30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 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na rok 2011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 xml:space="preserve">na január až </w:t>
            </w:r>
          </w:p>
        </w:tc>
        <w:tc>
          <w:tcPr>
            <w:tcW w:w="1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 xml:space="preserve"> 2011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október 2011</w:t>
            </w:r>
          </w:p>
        </w:tc>
        <w:tc>
          <w:tcPr>
            <w:tcW w:w="7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8A38D3" w:rsidRPr="008A38D3" w:rsidTr="00752E8B">
        <w:trPr>
          <w:trHeight w:val="255"/>
        </w:trPr>
        <w:tc>
          <w:tcPr>
            <w:tcW w:w="30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 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 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 xml:space="preserve"> október 2011</w:t>
            </w:r>
          </w:p>
        </w:tc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8A38D3" w:rsidRPr="008A38D3" w:rsidTr="00752E8B">
        <w:trPr>
          <w:trHeight w:val="300"/>
        </w:trPr>
        <w:tc>
          <w:tcPr>
            <w:tcW w:w="3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a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6</w:t>
            </w:r>
          </w:p>
        </w:tc>
      </w:tr>
      <w:tr w:rsidR="008A38D3" w:rsidRPr="008A38D3" w:rsidTr="00752E8B">
        <w:trPr>
          <w:trHeight w:val="300"/>
        </w:trPr>
        <w:tc>
          <w:tcPr>
            <w:tcW w:w="3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Mzdové prostriedky spolu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51 317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42 845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3 968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40 145 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>78,23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>93,70</w:t>
            </w:r>
          </w:p>
        </w:tc>
      </w:tr>
      <w:tr w:rsidR="008A38D3" w:rsidRPr="008A38D3" w:rsidTr="00752E8B">
        <w:trPr>
          <w:trHeight w:val="255"/>
        </w:trPr>
        <w:tc>
          <w:tcPr>
            <w:tcW w:w="3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 v tom : - ústredie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15 737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13 191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1 216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12 309 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78,22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93,31</w:t>
            </w:r>
          </w:p>
        </w:tc>
      </w:tr>
      <w:tr w:rsidR="008A38D3" w:rsidRPr="008A38D3" w:rsidTr="00752E8B">
        <w:trPr>
          <w:trHeight w:val="255"/>
        </w:trPr>
        <w:tc>
          <w:tcPr>
            <w:tcW w:w="3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             - pobočky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35 580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29 654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2 752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27 836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78,24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93,87</w:t>
            </w:r>
          </w:p>
        </w:tc>
      </w:tr>
      <w:tr w:rsidR="008A38D3" w:rsidRPr="008A38D3" w:rsidTr="00752E8B">
        <w:trPr>
          <w:trHeight w:val="300"/>
        </w:trPr>
        <w:tc>
          <w:tcPr>
            <w:tcW w:w="3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Poistné a príspevok do poisťovní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19 773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16 562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1 494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15 428 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>78,03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/>
                <w:bCs/>
                <w:sz w:val="18"/>
                <w:szCs w:val="18"/>
              </w:rPr>
              <w:t>93,15</w:t>
            </w:r>
          </w:p>
        </w:tc>
      </w:tr>
      <w:tr w:rsidR="008A38D3" w:rsidRPr="008A38D3" w:rsidTr="00752E8B">
        <w:trPr>
          <w:trHeight w:val="255"/>
        </w:trPr>
        <w:tc>
          <w:tcPr>
            <w:tcW w:w="3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 v tom : - ústredie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 xml:space="preserve">5 962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 xml:space="preserve">5 037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 xml:space="preserve"> 458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 xml:space="preserve">4 768 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79,97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94,66</w:t>
            </w:r>
          </w:p>
        </w:tc>
      </w:tr>
      <w:tr w:rsidR="008A38D3" w:rsidRPr="008A38D3" w:rsidTr="00752E8B">
        <w:trPr>
          <w:trHeight w:val="255"/>
        </w:trPr>
        <w:tc>
          <w:tcPr>
            <w:tcW w:w="3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             - pobočky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 xml:space="preserve">13 811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 xml:space="preserve">11 525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1 036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 xml:space="preserve">10 660 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77,18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92,49</w:t>
            </w:r>
          </w:p>
        </w:tc>
      </w:tr>
    </w:tbl>
    <w:p w:rsidR="008A38D3" w:rsidRPr="008A38D3" w:rsidRDefault="008A38D3" w:rsidP="008A38D3">
      <w:pPr>
        <w:tabs>
          <w:tab w:val="left" w:pos="426"/>
          <w:tab w:val="left" w:pos="709"/>
          <w:tab w:val="right" w:pos="5670"/>
          <w:tab w:val="right" w:pos="9072"/>
        </w:tabs>
        <w:spacing w:after="120"/>
        <w:rPr>
          <w:rFonts w:ascii="Arial" w:hAnsi="Arial" w:cs="Arial"/>
          <w:i/>
          <w:sz w:val="20"/>
          <w:szCs w:val="20"/>
        </w:rPr>
      </w:pPr>
    </w:p>
    <w:p w:rsidR="008A38D3" w:rsidRPr="008A38D3" w:rsidRDefault="008A38D3" w:rsidP="008A38D3">
      <w:pPr>
        <w:tabs>
          <w:tab w:val="right" w:pos="8931"/>
        </w:tabs>
        <w:spacing w:before="240"/>
        <w:ind w:firstLine="720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Finančné prostriedky rozpočtované na krytie výdavkov (nákladov) správneho   fondu ústredia a pobočiek spolu v cieľovom rozpise rozpočtu na tovary a služby v celkovej sume </w:t>
      </w:r>
      <w:r w:rsidRPr="008A38D3">
        <w:rPr>
          <w:rFonts w:ascii="Arial" w:hAnsi="Arial" w:cs="Arial"/>
          <w:szCs w:val="20"/>
        </w:rPr>
        <w:tab/>
        <w:t>42 476 tis. Eur,</w:t>
      </w:r>
      <w:r w:rsidRPr="008A38D3">
        <w:rPr>
          <w:rFonts w:ascii="Arial" w:hAnsi="Arial" w:cs="Arial"/>
          <w:szCs w:val="20"/>
        </w:rPr>
        <w:br/>
        <w:t xml:space="preserve">boli za obdobie január až október 2011 čerpané vo výške </w:t>
      </w:r>
      <w:r w:rsidRPr="008A38D3">
        <w:rPr>
          <w:rFonts w:ascii="Arial" w:hAnsi="Arial" w:cs="Arial"/>
          <w:szCs w:val="20"/>
        </w:rPr>
        <w:tab/>
        <w:t xml:space="preserve">29 822 tis. Eur, </w:t>
      </w:r>
      <w:r w:rsidRPr="008A38D3">
        <w:rPr>
          <w:rFonts w:ascii="Arial" w:hAnsi="Arial" w:cs="Arial"/>
          <w:szCs w:val="20"/>
        </w:rPr>
        <w:br/>
        <w:t>čo je plnenie k ročnému rozpočtu na</w:t>
      </w:r>
      <w:r w:rsidRPr="008A38D3">
        <w:rPr>
          <w:rFonts w:ascii="Arial" w:hAnsi="Arial" w:cs="Arial"/>
          <w:szCs w:val="20"/>
        </w:rPr>
        <w:tab/>
        <w:t>70,21 %,</w:t>
      </w:r>
    </w:p>
    <w:p w:rsidR="008A38D3" w:rsidRPr="008A38D3" w:rsidRDefault="008A38D3" w:rsidP="008A38D3">
      <w:pPr>
        <w:tabs>
          <w:tab w:val="right" w:pos="8931"/>
        </w:tabs>
        <w:spacing w:after="120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k časovému rozpisu na január až október 2011</w:t>
      </w:r>
      <w:r w:rsidRPr="008A38D3">
        <w:rPr>
          <w:rFonts w:ascii="Arial" w:hAnsi="Arial" w:cs="Arial"/>
          <w:szCs w:val="20"/>
        </w:rPr>
        <w:tab/>
        <w:t>85,04%.</w:t>
      </w:r>
    </w:p>
    <w:p w:rsidR="008A38D3" w:rsidRPr="008A38D3" w:rsidRDefault="008A38D3" w:rsidP="008A38D3">
      <w:pPr>
        <w:tabs>
          <w:tab w:val="right" w:pos="8931"/>
        </w:tabs>
        <w:spacing w:before="240" w:after="120"/>
        <w:ind w:firstLine="720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Finančné prostriedky rozpočtované na krytie výdavkov (nákladov) správneho   fondu ústredia a pobočiek spolu v cieľovom rozpise rozpočtu na bežné transfery v celkovej sume </w:t>
      </w:r>
      <w:r w:rsidRPr="008A38D3">
        <w:rPr>
          <w:rFonts w:ascii="Arial" w:hAnsi="Arial" w:cs="Arial"/>
          <w:szCs w:val="20"/>
        </w:rPr>
        <w:tab/>
        <w:t>2 646 tis. Eur,</w:t>
      </w:r>
      <w:r w:rsidRPr="008A38D3">
        <w:rPr>
          <w:rFonts w:ascii="Arial" w:hAnsi="Arial" w:cs="Arial"/>
          <w:szCs w:val="20"/>
        </w:rPr>
        <w:br/>
        <w:t xml:space="preserve">boli za obdobie január až október 2011 čerpané vo výške </w:t>
      </w:r>
      <w:r w:rsidRPr="008A38D3">
        <w:rPr>
          <w:rFonts w:ascii="Arial" w:hAnsi="Arial" w:cs="Arial"/>
          <w:szCs w:val="20"/>
        </w:rPr>
        <w:tab/>
        <w:t xml:space="preserve">2 594 tis. Eur, </w:t>
      </w:r>
      <w:r w:rsidRPr="008A38D3">
        <w:rPr>
          <w:rFonts w:ascii="Arial" w:hAnsi="Arial" w:cs="Arial"/>
          <w:szCs w:val="20"/>
        </w:rPr>
        <w:br/>
        <w:t>čo je plnenie k ročnému rozpočtu na</w:t>
      </w:r>
      <w:r w:rsidRPr="008A38D3">
        <w:rPr>
          <w:rFonts w:ascii="Arial" w:hAnsi="Arial" w:cs="Arial"/>
          <w:szCs w:val="20"/>
        </w:rPr>
        <w:tab/>
        <w:t>98,03 %,</w:t>
      </w:r>
      <w:r w:rsidRPr="008A38D3">
        <w:rPr>
          <w:rFonts w:ascii="Arial" w:hAnsi="Arial" w:cs="Arial"/>
          <w:szCs w:val="20"/>
        </w:rPr>
        <w:br/>
        <w:t xml:space="preserve">k časovému rozpisu na január až október 2011 </w:t>
      </w:r>
      <w:r w:rsidRPr="008A38D3">
        <w:rPr>
          <w:rFonts w:ascii="Arial" w:hAnsi="Arial" w:cs="Arial"/>
          <w:szCs w:val="20"/>
        </w:rPr>
        <w:tab/>
        <w:t>102,13%.</w:t>
      </w:r>
    </w:p>
    <w:p w:rsidR="008A38D3" w:rsidRPr="008A38D3" w:rsidRDefault="008A38D3" w:rsidP="008A38D3">
      <w:pPr>
        <w:tabs>
          <w:tab w:val="right" w:pos="4536"/>
          <w:tab w:val="right" w:pos="6663"/>
          <w:tab w:val="right" w:pos="9072"/>
        </w:tabs>
        <w:spacing w:before="240" w:after="120"/>
        <w:ind w:firstLine="720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Podľa vybraných </w:t>
      </w:r>
      <w:r w:rsidRPr="008A38D3">
        <w:rPr>
          <w:rFonts w:ascii="Arial" w:hAnsi="Arial" w:cs="Arial"/>
          <w:b/>
          <w:szCs w:val="20"/>
        </w:rPr>
        <w:t>nákladových položiek</w:t>
      </w:r>
      <w:r w:rsidRPr="008A38D3">
        <w:rPr>
          <w:rFonts w:ascii="Arial" w:hAnsi="Arial" w:cs="Arial"/>
          <w:szCs w:val="20"/>
        </w:rPr>
        <w:t xml:space="preserve"> analytického členenia bolo použitie správneho fondu takéto :</w:t>
      </w:r>
    </w:p>
    <w:p w:rsidR="008A38D3" w:rsidRPr="008A38D3" w:rsidRDefault="008A38D3" w:rsidP="008A38D3">
      <w:pPr>
        <w:tabs>
          <w:tab w:val="right" w:pos="4536"/>
          <w:tab w:val="right" w:pos="6663"/>
          <w:tab w:val="right" w:pos="9072"/>
        </w:tabs>
        <w:spacing w:before="240" w:after="120"/>
        <w:ind w:firstLine="720"/>
        <w:rPr>
          <w:rFonts w:ascii="Arial" w:hAnsi="Arial" w:cs="Arial"/>
          <w:szCs w:val="20"/>
        </w:rPr>
      </w:pPr>
    </w:p>
    <w:p w:rsidR="008A38D3" w:rsidRPr="008A38D3" w:rsidRDefault="008A38D3" w:rsidP="008A38D3">
      <w:pPr>
        <w:tabs>
          <w:tab w:val="right" w:pos="4536"/>
          <w:tab w:val="right" w:pos="6663"/>
          <w:tab w:val="right" w:pos="9072"/>
        </w:tabs>
        <w:spacing w:after="120"/>
        <w:ind w:firstLine="720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 w:val="20"/>
          <w:szCs w:val="20"/>
        </w:rPr>
        <w:lastRenderedPageBreak/>
        <w:t xml:space="preserve">      </w:t>
      </w:r>
      <w:r w:rsidRPr="008A38D3">
        <w:rPr>
          <w:rFonts w:ascii="Arial" w:hAnsi="Arial" w:cs="Arial"/>
          <w:sz w:val="20"/>
          <w:szCs w:val="20"/>
        </w:rPr>
        <w:tab/>
        <w:t xml:space="preserve">                                                                                                                              v tis. Eur</w:t>
      </w:r>
    </w:p>
    <w:tbl>
      <w:tblPr>
        <w:tblW w:w="8938" w:type="dxa"/>
        <w:tblInd w:w="7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60"/>
        <w:gridCol w:w="1260"/>
        <w:gridCol w:w="1620"/>
        <w:gridCol w:w="1260"/>
        <w:gridCol w:w="1196"/>
        <w:gridCol w:w="721"/>
        <w:gridCol w:w="721"/>
      </w:tblGrid>
      <w:tr w:rsidR="008A38D3" w:rsidRPr="008A38D3" w:rsidTr="00752E8B">
        <w:trPr>
          <w:trHeight w:val="375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 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Cieľový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Cieľový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Skutočnosť</w:t>
            </w:r>
          </w:p>
        </w:tc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Skutočnosť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%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%</w:t>
            </w:r>
          </w:p>
        </w:tc>
      </w:tr>
      <w:tr w:rsidR="008A38D3" w:rsidRPr="008A38D3" w:rsidTr="00752E8B">
        <w:trPr>
          <w:trHeight w:val="255"/>
        </w:trPr>
        <w:tc>
          <w:tcPr>
            <w:tcW w:w="21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Ukazovateľ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rozpis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rozpis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za mesiac</w:t>
            </w:r>
          </w:p>
        </w:tc>
        <w:tc>
          <w:tcPr>
            <w:tcW w:w="119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za obdobie</w:t>
            </w:r>
          </w:p>
        </w:tc>
        <w:tc>
          <w:tcPr>
            <w:tcW w:w="7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plnenia</w:t>
            </w:r>
          </w:p>
        </w:tc>
        <w:tc>
          <w:tcPr>
            <w:tcW w:w="7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plnenia</w:t>
            </w:r>
          </w:p>
        </w:tc>
      </w:tr>
      <w:tr w:rsidR="008A38D3" w:rsidRPr="008A38D3" w:rsidTr="00752E8B">
        <w:trPr>
          <w:trHeight w:val="246"/>
        </w:trPr>
        <w:tc>
          <w:tcPr>
            <w:tcW w:w="21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 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 xml:space="preserve">rozpočtu 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rozpočtu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október</w:t>
            </w:r>
          </w:p>
        </w:tc>
        <w:tc>
          <w:tcPr>
            <w:tcW w:w="119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január až</w:t>
            </w:r>
          </w:p>
        </w:tc>
        <w:tc>
          <w:tcPr>
            <w:tcW w:w="7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(4/1)</w:t>
            </w:r>
          </w:p>
        </w:tc>
        <w:tc>
          <w:tcPr>
            <w:tcW w:w="7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(4/2)</w:t>
            </w:r>
          </w:p>
        </w:tc>
      </w:tr>
      <w:tr w:rsidR="008A38D3" w:rsidRPr="008A38D3" w:rsidTr="00752E8B">
        <w:trPr>
          <w:trHeight w:val="255"/>
        </w:trPr>
        <w:tc>
          <w:tcPr>
            <w:tcW w:w="21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 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na rok  2011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na január až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2011</w:t>
            </w:r>
          </w:p>
        </w:tc>
        <w:tc>
          <w:tcPr>
            <w:tcW w:w="119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október</w:t>
            </w:r>
          </w:p>
        </w:tc>
        <w:tc>
          <w:tcPr>
            <w:tcW w:w="7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7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8A38D3" w:rsidRPr="008A38D3" w:rsidTr="00752E8B">
        <w:trPr>
          <w:trHeight w:val="255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 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 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október 2011</w:t>
            </w: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11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8A38D3">
              <w:rPr>
                <w:rFonts w:ascii="Arial" w:hAnsi="Arial" w:cs="Arial"/>
                <w:bCs/>
                <w:sz w:val="18"/>
                <w:szCs w:val="18"/>
              </w:rPr>
              <w:t>2011</w:t>
            </w:r>
          </w:p>
        </w:tc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8A38D3" w:rsidRPr="008A38D3" w:rsidTr="00752E8B">
        <w:trPr>
          <w:trHeight w:val="270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a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6</w:t>
            </w:r>
          </w:p>
        </w:tc>
      </w:tr>
      <w:tr w:rsidR="008A38D3" w:rsidRPr="008A38D3" w:rsidTr="00752E8B">
        <w:trPr>
          <w:trHeight w:val="255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 - spotrebované nákupy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5 560 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4 411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279 </w:t>
            </w:r>
          </w:p>
        </w:tc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3 057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54,98 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69,30</w:t>
            </w:r>
          </w:p>
        </w:tc>
      </w:tr>
      <w:tr w:rsidR="008A38D3" w:rsidRPr="008A38D3" w:rsidTr="00752E8B">
        <w:trPr>
          <w:trHeight w:val="255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 - služby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30 905 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25 772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1 982 </w:t>
            </w:r>
          </w:p>
        </w:tc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22 080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71,44 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85,67</w:t>
            </w:r>
          </w:p>
        </w:tc>
      </w:tr>
      <w:tr w:rsidR="008A38D3" w:rsidRPr="008A38D3" w:rsidTr="00752E8B">
        <w:trPr>
          <w:trHeight w:val="255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 - osobné náklady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76 538 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64 256 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5 720 </w:t>
            </w:r>
          </w:p>
        </w:tc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60 302 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78,79 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93,85 </w:t>
            </w:r>
          </w:p>
        </w:tc>
      </w:tr>
      <w:tr w:rsidR="008A38D3" w:rsidRPr="008A38D3" w:rsidTr="00752E8B">
        <w:trPr>
          <w:trHeight w:val="255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 - dane a poplatky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333 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275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15</w:t>
            </w:r>
          </w:p>
        </w:tc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308 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92,57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112,03</w:t>
            </w:r>
          </w:p>
        </w:tc>
      </w:tr>
      <w:tr w:rsidR="008A38D3" w:rsidRPr="008A38D3" w:rsidTr="00752E8B">
        <w:trPr>
          <w:trHeight w:val="255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 - ostatné náklady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2 876 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2 302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174 </w:t>
            </w:r>
          </w:p>
        </w:tc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2 242 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77,97 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97,39 </w:t>
            </w:r>
          </w:p>
        </w:tc>
      </w:tr>
    </w:tbl>
    <w:p w:rsidR="008A38D3" w:rsidRPr="008A38D3" w:rsidRDefault="008A38D3" w:rsidP="008A38D3">
      <w:pPr>
        <w:numPr>
          <w:ilvl w:val="2"/>
          <w:numId w:val="11"/>
        </w:numPr>
        <w:tabs>
          <w:tab w:val="right" w:pos="9180"/>
        </w:tabs>
        <w:spacing w:before="480" w:after="120"/>
        <w:jc w:val="both"/>
        <w:rPr>
          <w:rFonts w:ascii="Arial" w:hAnsi="Arial" w:cs="Arial"/>
          <w:b/>
          <w:szCs w:val="20"/>
        </w:rPr>
      </w:pPr>
      <w:r w:rsidRPr="008A38D3">
        <w:rPr>
          <w:rFonts w:ascii="Arial" w:hAnsi="Arial" w:cs="Arial"/>
          <w:b/>
          <w:szCs w:val="20"/>
        </w:rPr>
        <w:t xml:space="preserve">Kapitálové výdavky </w:t>
      </w:r>
    </w:p>
    <w:p w:rsidR="008A38D3" w:rsidRPr="008A38D3" w:rsidRDefault="008A38D3" w:rsidP="008A38D3">
      <w:pPr>
        <w:tabs>
          <w:tab w:val="decimal" w:pos="8100"/>
        </w:tabs>
        <w:spacing w:before="240"/>
        <w:ind w:firstLine="720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Vynaložené finančné prostriedky správneho fondu súvisiace s krytím kapitálových výdavkov za január až október 2011 boli v sume</w:t>
      </w:r>
      <w:r w:rsidRPr="008A38D3">
        <w:rPr>
          <w:rFonts w:ascii="Arial" w:hAnsi="Arial" w:cs="Arial"/>
          <w:szCs w:val="20"/>
        </w:rPr>
        <w:tab/>
        <w:t>536 tis. Eur,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čo z cieľového rozpisu rozpočtu na január až október 2011 </w:t>
      </w:r>
      <w:r w:rsidRPr="008A38D3">
        <w:rPr>
          <w:rFonts w:ascii="Arial" w:hAnsi="Arial" w:cs="Arial"/>
          <w:szCs w:val="20"/>
        </w:rPr>
        <w:tab/>
        <w:t xml:space="preserve">2 967 tis. Eur, 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je plnenie na 18,07 %,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a z cieľového rozpisu rozpočtu na rok  2011 </w:t>
      </w:r>
      <w:r w:rsidRPr="008A38D3">
        <w:rPr>
          <w:rFonts w:ascii="Arial" w:hAnsi="Arial" w:cs="Arial"/>
          <w:szCs w:val="20"/>
        </w:rPr>
        <w:tab/>
        <w:t xml:space="preserve">3 091 tis. Eur, 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je plnenie na 17,34 %.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spacing w:before="24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V kategórii kapitálových výdavkov boli čerpané finančné prostriedky nasledovne: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- na položke nákup výpočtovej techniky vo výške </w:t>
      </w:r>
      <w:r w:rsidRPr="008A38D3">
        <w:rPr>
          <w:rFonts w:ascii="Arial" w:hAnsi="Arial" w:cs="Arial"/>
          <w:szCs w:val="20"/>
        </w:rPr>
        <w:tab/>
        <w:t>179 tis. Eur,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- na položke nákup telekomunikačnej techniky vo výške </w:t>
      </w:r>
      <w:r w:rsidRPr="008A38D3">
        <w:rPr>
          <w:rFonts w:ascii="Arial" w:hAnsi="Arial" w:cs="Arial"/>
          <w:szCs w:val="20"/>
        </w:rPr>
        <w:tab/>
        <w:t>54 tis. Eur,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- na položke prípravná a projektová dokumentácia vo výške </w:t>
      </w:r>
      <w:r w:rsidRPr="008A38D3">
        <w:rPr>
          <w:rFonts w:ascii="Arial" w:hAnsi="Arial" w:cs="Arial"/>
          <w:szCs w:val="20"/>
        </w:rPr>
        <w:tab/>
        <w:t>53 tis. Eur,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- na položke realizácia stavieb a ich technické zhodnotenie vo výške</w:t>
      </w:r>
      <w:r w:rsidRPr="008A38D3">
        <w:rPr>
          <w:rFonts w:ascii="Arial" w:hAnsi="Arial" w:cs="Arial"/>
          <w:szCs w:val="20"/>
        </w:rPr>
        <w:tab/>
        <w:t xml:space="preserve">250 tis. Eur. </w:t>
      </w:r>
    </w:p>
    <w:p w:rsidR="008A38D3" w:rsidRPr="008A38D3" w:rsidRDefault="008A38D3" w:rsidP="008A38D3">
      <w:pPr>
        <w:tabs>
          <w:tab w:val="left" w:pos="851"/>
        </w:tabs>
        <w:spacing w:before="240" w:after="120"/>
        <w:jc w:val="both"/>
        <w:rPr>
          <w:rFonts w:ascii="Arial" w:hAnsi="Arial"/>
          <w:b/>
          <w:szCs w:val="20"/>
        </w:rPr>
      </w:pPr>
      <w:r w:rsidRPr="008A38D3">
        <w:rPr>
          <w:rFonts w:ascii="Arial" w:hAnsi="Arial"/>
          <w:b/>
          <w:szCs w:val="20"/>
        </w:rPr>
        <w:t>3.6.2.1.</w:t>
      </w:r>
      <w:r w:rsidRPr="008A38D3">
        <w:rPr>
          <w:rFonts w:ascii="Arial" w:hAnsi="Arial"/>
          <w:b/>
          <w:szCs w:val="20"/>
        </w:rPr>
        <w:tab/>
        <w:t>Obstaranie informačno-komunikačných technológií</w:t>
      </w:r>
    </w:p>
    <w:p w:rsidR="008A38D3" w:rsidRPr="008A38D3" w:rsidRDefault="008A38D3" w:rsidP="008A38D3">
      <w:pPr>
        <w:tabs>
          <w:tab w:val="decimal" w:pos="8100"/>
        </w:tabs>
        <w:spacing w:before="240"/>
        <w:ind w:firstLine="720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Finančné prostriedky rozpočtované v tejto časti rozpočtu v období január až október 2011 boli použité na obstaranie výpočtovej a telekomunikačnej techniky </w:t>
      </w:r>
      <w:r w:rsidRPr="008A38D3">
        <w:rPr>
          <w:rFonts w:ascii="Arial" w:hAnsi="Arial" w:cs="Arial"/>
          <w:szCs w:val="20"/>
        </w:rPr>
        <w:br/>
        <w:t xml:space="preserve"> v sume </w:t>
      </w:r>
      <w:r w:rsidRPr="008A38D3">
        <w:rPr>
          <w:rFonts w:ascii="Arial" w:hAnsi="Arial" w:cs="Arial"/>
          <w:szCs w:val="20"/>
        </w:rPr>
        <w:tab/>
        <w:t>233 tis. Eur,</w:t>
      </w:r>
      <w:r w:rsidRPr="008A38D3">
        <w:rPr>
          <w:rFonts w:ascii="Arial" w:hAnsi="Arial" w:cs="Arial"/>
          <w:szCs w:val="20"/>
        </w:rPr>
        <w:br/>
        <w:t xml:space="preserve">čo z cieľového rozpisu rozpočtu na január až október 2011 </w:t>
      </w:r>
      <w:r w:rsidRPr="008A38D3">
        <w:rPr>
          <w:rFonts w:ascii="Arial" w:hAnsi="Arial" w:cs="Arial"/>
          <w:szCs w:val="20"/>
        </w:rPr>
        <w:tab/>
        <w:t xml:space="preserve">1 437 tis. Eur, 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je plnenie na 16,21 %,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a z cieľového rozpisu rozpočtu na rok  2011 </w:t>
      </w:r>
      <w:r w:rsidRPr="008A38D3">
        <w:rPr>
          <w:rFonts w:ascii="Arial" w:hAnsi="Arial" w:cs="Arial"/>
          <w:szCs w:val="20"/>
        </w:rPr>
        <w:tab/>
        <w:t xml:space="preserve">1 437 tis. Eur, 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je plnenie na 16,21 %.</w:t>
      </w:r>
    </w:p>
    <w:p w:rsidR="008A38D3" w:rsidRPr="008A38D3" w:rsidRDefault="008A38D3" w:rsidP="008A38D3">
      <w:pPr>
        <w:tabs>
          <w:tab w:val="right" w:pos="8931"/>
        </w:tabs>
        <w:spacing w:before="240" w:after="120"/>
        <w:jc w:val="both"/>
        <w:rPr>
          <w:rFonts w:ascii="Arial" w:hAnsi="Arial"/>
          <w:b/>
          <w:szCs w:val="20"/>
        </w:rPr>
      </w:pPr>
      <w:r w:rsidRPr="008A38D3">
        <w:rPr>
          <w:rFonts w:ascii="Arial" w:hAnsi="Arial"/>
          <w:b/>
          <w:szCs w:val="20"/>
        </w:rPr>
        <w:t>3.6.2.2 Obstaranie hmotného majetku</w:t>
      </w:r>
    </w:p>
    <w:p w:rsidR="008A38D3" w:rsidRPr="008A38D3" w:rsidRDefault="008A38D3" w:rsidP="008A38D3">
      <w:pPr>
        <w:tabs>
          <w:tab w:val="decimal" w:pos="8100"/>
        </w:tabs>
        <w:spacing w:before="240"/>
        <w:ind w:firstLine="720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Vynaložené finančné prostriedky správneho fondu súvisiace s krytím hmotného majetku za obdobie január až október 2011 boli v sume</w:t>
      </w:r>
      <w:r w:rsidRPr="008A38D3">
        <w:rPr>
          <w:rFonts w:ascii="Arial" w:hAnsi="Arial" w:cs="Arial"/>
          <w:szCs w:val="20"/>
        </w:rPr>
        <w:tab/>
        <w:t>303 tis. Eur,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čo z cieľového rozpisu rozpočtu na január až október 2011 </w:t>
      </w:r>
      <w:r w:rsidRPr="008A38D3">
        <w:rPr>
          <w:rFonts w:ascii="Arial" w:hAnsi="Arial" w:cs="Arial"/>
          <w:szCs w:val="20"/>
        </w:rPr>
        <w:tab/>
        <w:t xml:space="preserve">1 530 tis. Eur, 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je plnenie na 19,80 %,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a z cieľového rozpisu rozpočtu na rok  2011 </w:t>
      </w:r>
      <w:r w:rsidRPr="008A38D3">
        <w:rPr>
          <w:rFonts w:ascii="Arial" w:hAnsi="Arial" w:cs="Arial"/>
          <w:szCs w:val="20"/>
        </w:rPr>
        <w:tab/>
        <w:t xml:space="preserve">1 654 tis. Eur, </w:t>
      </w:r>
    </w:p>
    <w:p w:rsidR="008A38D3" w:rsidRPr="008A38D3" w:rsidRDefault="008A38D3" w:rsidP="008A38D3">
      <w:pPr>
        <w:tabs>
          <w:tab w:val="decimal" w:pos="8100"/>
          <w:tab w:val="right" w:pos="9180"/>
        </w:tabs>
        <w:jc w:val="both"/>
        <w:rPr>
          <w:rFonts w:ascii="Arial" w:hAnsi="Arial"/>
          <w:szCs w:val="20"/>
        </w:rPr>
      </w:pPr>
      <w:r w:rsidRPr="008A38D3">
        <w:rPr>
          <w:rFonts w:ascii="Arial" w:hAnsi="Arial" w:cs="Arial"/>
          <w:szCs w:val="20"/>
        </w:rPr>
        <w:t>je plnenie na 18,32 %.</w:t>
      </w:r>
      <w:r w:rsidRPr="008A38D3">
        <w:rPr>
          <w:rFonts w:ascii="Arial" w:hAnsi="Arial"/>
          <w:szCs w:val="20"/>
        </w:rPr>
        <w:tab/>
      </w:r>
    </w:p>
    <w:p w:rsidR="008A38D3" w:rsidRPr="008A38D3" w:rsidRDefault="008A38D3" w:rsidP="008A38D3">
      <w:pPr>
        <w:tabs>
          <w:tab w:val="left" w:pos="720"/>
          <w:tab w:val="decimal" w:pos="8222"/>
        </w:tabs>
        <w:spacing w:before="240" w:after="120"/>
        <w:jc w:val="both"/>
        <w:rPr>
          <w:rFonts w:ascii="Arial" w:hAnsi="Arial"/>
          <w:b/>
          <w:sz w:val="28"/>
          <w:szCs w:val="28"/>
        </w:rPr>
      </w:pPr>
    </w:p>
    <w:p w:rsidR="008A38D3" w:rsidRPr="008A38D3" w:rsidRDefault="008A38D3" w:rsidP="008A38D3">
      <w:pPr>
        <w:tabs>
          <w:tab w:val="left" w:pos="720"/>
          <w:tab w:val="decimal" w:pos="8222"/>
        </w:tabs>
        <w:spacing w:before="240" w:after="120"/>
        <w:jc w:val="both"/>
        <w:rPr>
          <w:rFonts w:ascii="Arial" w:hAnsi="Arial"/>
          <w:b/>
          <w:sz w:val="28"/>
          <w:szCs w:val="28"/>
        </w:rPr>
      </w:pPr>
    </w:p>
    <w:p w:rsidR="008A38D3" w:rsidRPr="008A38D3" w:rsidRDefault="008A38D3" w:rsidP="008A38D3">
      <w:pPr>
        <w:tabs>
          <w:tab w:val="left" w:pos="720"/>
          <w:tab w:val="decimal" w:pos="8222"/>
        </w:tabs>
        <w:spacing w:before="240" w:after="120"/>
        <w:jc w:val="both"/>
        <w:rPr>
          <w:rFonts w:ascii="Arial" w:hAnsi="Arial"/>
          <w:b/>
          <w:sz w:val="28"/>
          <w:szCs w:val="28"/>
        </w:rPr>
      </w:pPr>
      <w:r w:rsidRPr="008A38D3">
        <w:rPr>
          <w:rFonts w:ascii="Arial" w:hAnsi="Arial"/>
          <w:b/>
          <w:sz w:val="28"/>
          <w:szCs w:val="28"/>
        </w:rPr>
        <w:t>4.</w:t>
      </w:r>
      <w:r w:rsidRPr="008A38D3">
        <w:rPr>
          <w:rFonts w:ascii="Arial" w:hAnsi="Arial"/>
          <w:b/>
          <w:sz w:val="28"/>
          <w:szCs w:val="28"/>
        </w:rPr>
        <w:tab/>
        <w:t>Výdavky na dávky, ktoré hradí štát</w:t>
      </w:r>
    </w:p>
    <w:p w:rsidR="008A38D3" w:rsidRPr="008A38D3" w:rsidRDefault="008A38D3" w:rsidP="008A38D3">
      <w:pPr>
        <w:tabs>
          <w:tab w:val="decimal" w:pos="8280"/>
        </w:tabs>
        <w:spacing w:after="120"/>
        <w:ind w:firstLine="709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 xml:space="preserve">Na výplatu dávok, ktoré uhrádza štát podľa § 168a a § 285 písm. a) až m) zákona o sociálnom poistení, poukázalo MPSVR SR Sociálnej poisťovni v hodnotenom období finančné prostriedky v sume </w:t>
      </w:r>
      <w:r w:rsidRPr="008A38D3">
        <w:rPr>
          <w:rFonts w:ascii="Arial" w:hAnsi="Arial"/>
          <w:szCs w:val="20"/>
        </w:rPr>
        <w:tab/>
        <w:t>36 753 tis. Eur.</w:t>
      </w:r>
    </w:p>
    <w:p w:rsidR="008A38D3" w:rsidRPr="008A38D3" w:rsidRDefault="008A38D3" w:rsidP="008A38D3">
      <w:pPr>
        <w:tabs>
          <w:tab w:val="decimal" w:pos="8280"/>
        </w:tabs>
        <w:spacing w:after="120"/>
        <w:ind w:firstLine="709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Tieto dávky boli vyplatené v sume</w:t>
      </w:r>
      <w:r w:rsidRPr="008A38D3">
        <w:rPr>
          <w:rFonts w:ascii="Arial" w:hAnsi="Arial"/>
          <w:szCs w:val="20"/>
        </w:rPr>
        <w:tab/>
        <w:t>38 020 tis. Eur,</w:t>
      </w:r>
      <w:r w:rsidRPr="008A38D3">
        <w:rPr>
          <w:rFonts w:ascii="Arial" w:hAnsi="Arial"/>
          <w:szCs w:val="20"/>
        </w:rPr>
        <w:br/>
        <w:t xml:space="preserve">čo zo schváleného rozpočtu na rok 2011 v sume </w:t>
      </w:r>
      <w:r w:rsidRPr="008A38D3">
        <w:rPr>
          <w:rFonts w:ascii="Arial" w:hAnsi="Arial"/>
          <w:szCs w:val="20"/>
        </w:rPr>
        <w:tab/>
        <w:t>44 799 tis. Eur</w:t>
      </w:r>
      <w:r w:rsidRPr="008A38D3">
        <w:rPr>
          <w:rFonts w:ascii="Arial" w:hAnsi="Arial"/>
          <w:szCs w:val="20"/>
        </w:rPr>
        <w:br/>
        <w:t>predstavuje plnenie na 84,87 %.</w:t>
      </w:r>
    </w:p>
    <w:p w:rsidR="008A38D3" w:rsidRPr="008A38D3" w:rsidRDefault="008A38D3" w:rsidP="008A38D3">
      <w:pPr>
        <w:tabs>
          <w:tab w:val="decimal" w:pos="8280"/>
        </w:tabs>
        <w:spacing w:after="120"/>
        <w:ind w:firstLine="709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Súčasťou dávok, ktoré hradí štát sú tiež výdavky na vianočný príspevok a náklady spojené s jeho výplatou, ktoré boli v hodnotenom období vyplatené v sume 1 342 tis. Eur a výdavky na príplatok k dôchodku politickým väzňom a náklady spojené s jeho výplatou, ktoré predstavovali sumu 2 636 tis. Eur.</w:t>
      </w:r>
    </w:p>
    <w:p w:rsidR="008A38D3" w:rsidRPr="008A38D3" w:rsidRDefault="008A38D3" w:rsidP="008A38D3">
      <w:pPr>
        <w:tabs>
          <w:tab w:val="center" w:pos="-3119"/>
        </w:tabs>
        <w:spacing w:after="120"/>
        <w:ind w:firstLine="709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 xml:space="preserve">Z rozdielu príjmov a výdavkov v hodnotenom období vyplýva pohľadávka Sociálnej poisťovne voči MPSVR SR v sume 1 267 tis. Eur. V zmysle Zmluvy o poukazovaní rozpočtových prostriedkov, ktoré poskytuje štát na úhradu nákladov na plnenia podľa § 168a a § 285 písm. a) až m) zákona o sociálnom poistení a o ich zúčtovaní sa pohľadávka </w:t>
      </w:r>
      <w:proofErr w:type="spellStart"/>
      <w:r w:rsidRPr="008A38D3">
        <w:rPr>
          <w:rFonts w:ascii="Arial" w:hAnsi="Arial"/>
          <w:szCs w:val="20"/>
        </w:rPr>
        <w:t>vysporiada</w:t>
      </w:r>
      <w:proofErr w:type="spellEnd"/>
      <w:r w:rsidRPr="008A38D3">
        <w:rPr>
          <w:rFonts w:ascii="Arial" w:hAnsi="Arial"/>
          <w:szCs w:val="20"/>
        </w:rPr>
        <w:t xml:space="preserve"> pri poukazovaní zálohy na nasledujúci mesiac.  </w:t>
      </w:r>
    </w:p>
    <w:p w:rsidR="008A38D3" w:rsidRPr="008A38D3" w:rsidRDefault="008A38D3" w:rsidP="008A38D3">
      <w:pPr>
        <w:spacing w:after="120"/>
        <w:ind w:firstLine="708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>Od 1. septembra 2009 vypláca Sociálna poisťovňa ďalšiu dávku, ktorú uhrádza štát. Ide o p</w:t>
      </w:r>
      <w:r w:rsidRPr="008A38D3">
        <w:rPr>
          <w:rFonts w:ascii="Arial" w:hAnsi="Arial" w:cs="Arial"/>
          <w:bCs/>
        </w:rPr>
        <w:t xml:space="preserve">ríspevok účastníkom národného boja za oslobodenie a vdovám a vdovcom po týchto osobách (ďalej len „príspevok“) podľa § 285 písm. n) zákona o sociálnom poistení v znení </w:t>
      </w:r>
      <w:hyperlink r:id="rId14" w:tgtFrame="_blank" w:history="1">
        <w:r w:rsidRPr="008A38D3">
          <w:rPr>
            <w:rFonts w:ascii="Arial" w:hAnsi="Arial" w:cs="Arial"/>
            <w:bCs/>
          </w:rPr>
          <w:t>zákona č. 285/2009 Z. z o poskytovaní príspevku účastníkom národného boja za oslobodenie a vdovám a vdovcom po týchto osobách a o zmene a doplnení niektorých zákonov.</w:t>
        </w:r>
      </w:hyperlink>
      <w:r w:rsidRPr="008A38D3">
        <w:rPr>
          <w:rFonts w:ascii="Arial" w:hAnsi="Arial" w:cs="Arial"/>
          <w:bCs/>
        </w:rPr>
        <w:t xml:space="preserve"> </w:t>
      </w:r>
      <w:r w:rsidRPr="008A38D3">
        <w:rPr>
          <w:rFonts w:ascii="Arial" w:hAnsi="Arial"/>
          <w:szCs w:val="20"/>
        </w:rPr>
        <w:t>F</w:t>
      </w:r>
      <w:r w:rsidRPr="008A38D3">
        <w:rPr>
          <w:rFonts w:ascii="Arial" w:hAnsi="Arial" w:cs="Arial"/>
          <w:bCs/>
        </w:rPr>
        <w:t xml:space="preserve">inančné prostriedky poukazuje Sociálnej poisťovni Ministerstvo obrany Slovenskej republiky (MO SR) v mesačnej periodicite na základe vyčíslenia sumy, ktorá bola vyplatená na príspevok a na úhradu výdavkov spojených s jeho výplatou. </w:t>
      </w:r>
    </w:p>
    <w:p w:rsidR="008A38D3" w:rsidRPr="008A38D3" w:rsidRDefault="008A38D3" w:rsidP="008A38D3">
      <w:pPr>
        <w:tabs>
          <w:tab w:val="left" w:pos="7560"/>
        </w:tabs>
        <w:spacing w:after="120"/>
        <w:ind w:firstLine="720"/>
        <w:jc w:val="both"/>
        <w:rPr>
          <w:rFonts w:ascii="Arial" w:hAnsi="Arial"/>
          <w:szCs w:val="20"/>
        </w:rPr>
      </w:pPr>
      <w:r w:rsidRPr="008A38D3">
        <w:rPr>
          <w:rFonts w:ascii="Arial" w:hAnsi="Arial"/>
          <w:szCs w:val="20"/>
        </w:rPr>
        <w:t xml:space="preserve">Výdavky na príspevok a na úhradu výdavkov spojených s jeho výplatou boli v hodnotenom období vyčíslené v sume 1 752 tis. Eur. MO SR Sociálnej poisťovni poukázalo finančné prostriedky na výdavky, ktoré sa viažu k hodnotenému obdobiu roka 2011 v sume 1 584 tis. Eur. Záväzok MO SR voči Sociálnej poisťovni v sume 168 tis. Eur bude vyrovnaný v nasledujúcom období. </w:t>
      </w:r>
    </w:p>
    <w:p w:rsidR="008A38D3" w:rsidRPr="008A38D3" w:rsidRDefault="008A38D3" w:rsidP="008A38D3">
      <w:pPr>
        <w:widowControl w:val="0"/>
        <w:tabs>
          <w:tab w:val="left" w:pos="709"/>
        </w:tabs>
        <w:spacing w:before="240" w:after="120"/>
        <w:jc w:val="both"/>
        <w:rPr>
          <w:rFonts w:ascii="Arial" w:hAnsi="Arial"/>
          <w:b/>
          <w:sz w:val="28"/>
          <w:szCs w:val="28"/>
        </w:rPr>
      </w:pPr>
      <w:r w:rsidRPr="008A38D3">
        <w:rPr>
          <w:rFonts w:ascii="Arial" w:hAnsi="Arial"/>
          <w:b/>
          <w:sz w:val="28"/>
          <w:szCs w:val="28"/>
        </w:rPr>
        <w:t>5.</w:t>
      </w:r>
      <w:r w:rsidRPr="008A38D3">
        <w:rPr>
          <w:rFonts w:ascii="Arial" w:hAnsi="Arial"/>
          <w:b/>
          <w:sz w:val="28"/>
          <w:szCs w:val="28"/>
        </w:rPr>
        <w:tab/>
        <w:t>Záver</w:t>
      </w:r>
    </w:p>
    <w:p w:rsidR="008A38D3" w:rsidRDefault="008A38D3" w:rsidP="008A38D3">
      <w:pPr>
        <w:widowControl w:val="0"/>
        <w:tabs>
          <w:tab w:val="left" w:pos="709"/>
        </w:tabs>
        <w:spacing w:after="120"/>
        <w:ind w:firstLine="72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 xml:space="preserve">Z porovnania skutočných príjmov a výdavkov Sociálnej poisťovne </w:t>
      </w:r>
      <w:r w:rsidRPr="008A38D3">
        <w:rPr>
          <w:rFonts w:ascii="Arial" w:hAnsi="Arial" w:cs="Arial"/>
        </w:rPr>
        <w:br/>
        <w:t>k 31. októbru 2011 vyplývajú takéto bilančné rozdiely v hospodárení Sociálnej poisťovne podľa jednotlivých fondov:</w:t>
      </w:r>
    </w:p>
    <w:p w:rsidR="008A38D3" w:rsidRDefault="008A38D3" w:rsidP="008A38D3">
      <w:pPr>
        <w:widowControl w:val="0"/>
        <w:tabs>
          <w:tab w:val="left" w:pos="709"/>
        </w:tabs>
        <w:spacing w:after="120"/>
        <w:ind w:firstLine="720"/>
        <w:jc w:val="both"/>
        <w:rPr>
          <w:rFonts w:ascii="Arial" w:hAnsi="Arial" w:cs="Arial"/>
        </w:rPr>
      </w:pPr>
    </w:p>
    <w:p w:rsidR="008A38D3" w:rsidRDefault="008A38D3" w:rsidP="008A38D3">
      <w:pPr>
        <w:widowControl w:val="0"/>
        <w:tabs>
          <w:tab w:val="left" w:pos="709"/>
        </w:tabs>
        <w:spacing w:after="120"/>
        <w:ind w:firstLine="720"/>
        <w:jc w:val="both"/>
        <w:rPr>
          <w:rFonts w:ascii="Arial" w:hAnsi="Arial" w:cs="Arial"/>
        </w:rPr>
      </w:pPr>
    </w:p>
    <w:p w:rsidR="008A38D3" w:rsidRDefault="008A38D3" w:rsidP="008A38D3">
      <w:pPr>
        <w:widowControl w:val="0"/>
        <w:tabs>
          <w:tab w:val="left" w:pos="709"/>
        </w:tabs>
        <w:spacing w:after="120"/>
        <w:ind w:firstLine="720"/>
        <w:jc w:val="both"/>
        <w:rPr>
          <w:rFonts w:ascii="Arial" w:hAnsi="Arial" w:cs="Arial"/>
        </w:rPr>
      </w:pPr>
    </w:p>
    <w:p w:rsidR="008A38D3" w:rsidRDefault="008A38D3" w:rsidP="008A38D3">
      <w:pPr>
        <w:widowControl w:val="0"/>
        <w:tabs>
          <w:tab w:val="left" w:pos="709"/>
        </w:tabs>
        <w:spacing w:after="120"/>
        <w:ind w:firstLine="720"/>
        <w:jc w:val="both"/>
        <w:rPr>
          <w:rFonts w:ascii="Arial" w:hAnsi="Arial" w:cs="Arial"/>
        </w:rPr>
      </w:pPr>
    </w:p>
    <w:p w:rsidR="008A38D3" w:rsidRDefault="008A38D3" w:rsidP="008A38D3">
      <w:pPr>
        <w:widowControl w:val="0"/>
        <w:tabs>
          <w:tab w:val="left" w:pos="709"/>
        </w:tabs>
        <w:spacing w:after="120"/>
        <w:ind w:firstLine="720"/>
        <w:jc w:val="both"/>
        <w:rPr>
          <w:rFonts w:ascii="Arial" w:hAnsi="Arial" w:cs="Arial"/>
        </w:rPr>
      </w:pPr>
    </w:p>
    <w:p w:rsidR="008A38D3" w:rsidRDefault="008A38D3" w:rsidP="008A38D3">
      <w:pPr>
        <w:widowControl w:val="0"/>
        <w:tabs>
          <w:tab w:val="left" w:pos="709"/>
        </w:tabs>
        <w:spacing w:after="120"/>
        <w:ind w:firstLine="720"/>
        <w:jc w:val="both"/>
        <w:rPr>
          <w:rFonts w:ascii="Arial" w:hAnsi="Arial" w:cs="Arial"/>
        </w:rPr>
      </w:pPr>
    </w:p>
    <w:p w:rsidR="008A38D3" w:rsidRPr="008A38D3" w:rsidRDefault="008A38D3" w:rsidP="008A38D3">
      <w:pPr>
        <w:widowControl w:val="0"/>
        <w:tabs>
          <w:tab w:val="left" w:pos="709"/>
        </w:tabs>
        <w:spacing w:after="120"/>
        <w:ind w:firstLine="720"/>
        <w:jc w:val="both"/>
        <w:rPr>
          <w:rFonts w:ascii="Arial" w:hAnsi="Arial" w:cs="Arial"/>
        </w:rPr>
      </w:pPr>
    </w:p>
    <w:tbl>
      <w:tblPr>
        <w:tblW w:w="919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66"/>
        <w:gridCol w:w="1340"/>
        <w:gridCol w:w="1560"/>
        <w:gridCol w:w="1400"/>
        <w:gridCol w:w="1141"/>
      </w:tblGrid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v tis. Eur</w:t>
            </w:r>
          </w:p>
        </w:tc>
      </w:tr>
      <w:tr w:rsidR="008A38D3" w:rsidRPr="008A38D3" w:rsidTr="00752E8B">
        <w:trPr>
          <w:trHeight w:val="713"/>
        </w:trPr>
        <w:tc>
          <w:tcPr>
            <w:tcW w:w="3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 xml:space="preserve">Fond  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Bilančný rozdiel v bežnom roku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Prevod zostatku z roku 2010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 xml:space="preserve">Krytie deficitu  v dôchodkovom poistení 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Bilančný rozdiel k 31.10.2011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nemocenského poistenia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12 945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74 361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87 306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starobného poistenia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-769 058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129 955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775 000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135 897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invalidného poistenia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72 050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24 867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-60 000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36 917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úrazového poistenia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69 194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70 603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-70 000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69 797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garančného poistenia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13 052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26 182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39 234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poistenia v nezamestnanosti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96 058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59 345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155 403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Rezervný fond solidarity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655 074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9 882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-645 000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19 956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Správny fond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6 402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40 472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46 874</w:t>
            </w:r>
          </w:p>
        </w:tc>
      </w:tr>
      <w:tr w:rsidR="008A38D3" w:rsidRPr="008A38D3" w:rsidTr="00752E8B">
        <w:trPr>
          <w:trHeight w:val="255"/>
        </w:trPr>
        <w:tc>
          <w:tcPr>
            <w:tcW w:w="3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Spolu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155 717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435 667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591 384</w:t>
            </w:r>
          </w:p>
        </w:tc>
      </w:tr>
    </w:tbl>
    <w:p w:rsidR="008A38D3" w:rsidRPr="008A38D3" w:rsidRDefault="008A38D3" w:rsidP="00A60C75">
      <w:pPr>
        <w:tabs>
          <w:tab w:val="decimal" w:pos="8100"/>
        </w:tabs>
        <w:spacing w:before="240" w:after="120"/>
        <w:ind w:right="-159" w:firstLine="720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Hospodárenie Sociálnej poisťovne v sledovanom období skončilo s výsledkom lepším o 250 715 tis. Eur, ako sa predpokladalo v časovom rozpise. Uvedené je ovplyvnené realizáciou oddlženia štátnych zdravotníckych zariadení v mesiaci október 2011 v sume 59 mil. Eur. </w:t>
      </w:r>
    </w:p>
    <w:p w:rsidR="008A38D3" w:rsidRPr="008A38D3" w:rsidRDefault="008A38D3" w:rsidP="008A38D3">
      <w:pPr>
        <w:tabs>
          <w:tab w:val="decimal" w:pos="8100"/>
        </w:tabs>
        <w:spacing w:after="120"/>
        <w:ind w:right="-159"/>
        <w:jc w:val="center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x  </w:t>
      </w:r>
      <w:proofErr w:type="spellStart"/>
      <w:r w:rsidRPr="008A38D3">
        <w:rPr>
          <w:rFonts w:ascii="Arial" w:hAnsi="Arial" w:cs="Arial"/>
          <w:szCs w:val="20"/>
        </w:rPr>
        <w:t>x</w:t>
      </w:r>
      <w:proofErr w:type="spellEnd"/>
      <w:r w:rsidRPr="008A38D3">
        <w:rPr>
          <w:rFonts w:ascii="Arial" w:hAnsi="Arial" w:cs="Arial"/>
          <w:szCs w:val="20"/>
        </w:rPr>
        <w:t xml:space="preserve">  </w:t>
      </w:r>
      <w:proofErr w:type="spellStart"/>
      <w:r w:rsidRPr="008A38D3">
        <w:rPr>
          <w:rFonts w:ascii="Arial" w:hAnsi="Arial" w:cs="Arial"/>
          <w:szCs w:val="20"/>
        </w:rPr>
        <w:t>x</w:t>
      </w:r>
      <w:proofErr w:type="spellEnd"/>
    </w:p>
    <w:p w:rsidR="008A38D3" w:rsidRPr="008A38D3" w:rsidRDefault="008A38D3" w:rsidP="008A38D3">
      <w:pPr>
        <w:spacing w:after="120"/>
        <w:jc w:val="center"/>
        <w:rPr>
          <w:rFonts w:ascii="Arial" w:hAnsi="Arial" w:cs="Arial"/>
          <w:b/>
          <w:szCs w:val="20"/>
        </w:rPr>
      </w:pPr>
      <w:r w:rsidRPr="008A38D3">
        <w:rPr>
          <w:rFonts w:ascii="Arial" w:hAnsi="Arial" w:cs="Arial"/>
          <w:b/>
          <w:szCs w:val="20"/>
        </w:rPr>
        <w:t>Informácia o príspevkoch na SDS v mesiacoch január až október 2011</w:t>
      </w:r>
    </w:p>
    <w:p w:rsidR="008A38D3" w:rsidRPr="008A38D3" w:rsidRDefault="008A38D3" w:rsidP="008A38D3">
      <w:pPr>
        <w:tabs>
          <w:tab w:val="decimal" w:pos="8280"/>
        </w:tabs>
        <w:spacing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Sociálna poisťovňa vybrala príspevky na SDS vo výške</w:t>
      </w:r>
      <w:r w:rsidRPr="008A38D3">
        <w:rPr>
          <w:rFonts w:ascii="Arial" w:hAnsi="Arial" w:cs="Arial"/>
          <w:szCs w:val="20"/>
        </w:rPr>
        <w:tab/>
        <w:t>681 557 tis. Eur,</w:t>
      </w:r>
      <w:r w:rsidRPr="008A38D3">
        <w:rPr>
          <w:rFonts w:ascii="Arial" w:hAnsi="Arial" w:cs="Arial"/>
          <w:szCs w:val="20"/>
        </w:rPr>
        <w:br/>
        <w:t>čo je 85,10 % v roku 2011 predpokladanej sumy</w:t>
      </w:r>
      <w:r w:rsidRPr="008A38D3">
        <w:rPr>
          <w:rFonts w:ascii="Arial" w:hAnsi="Arial" w:cs="Arial"/>
          <w:szCs w:val="20"/>
        </w:rPr>
        <w:tab/>
        <w:t>800 876 tis. Eur.</w:t>
      </w:r>
    </w:p>
    <w:p w:rsidR="008A38D3" w:rsidRPr="008A38D3" w:rsidRDefault="008A38D3" w:rsidP="008A38D3">
      <w:pPr>
        <w:tabs>
          <w:tab w:val="decimal" w:pos="8280"/>
          <w:tab w:val="decimal" w:pos="9000"/>
        </w:tabs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DSS boli za EAO postúpené príspevky na SDS v sume</w:t>
      </w:r>
      <w:r w:rsidRPr="008A38D3">
        <w:rPr>
          <w:rFonts w:ascii="Arial" w:hAnsi="Arial" w:cs="Arial"/>
          <w:szCs w:val="20"/>
        </w:rPr>
        <w:tab/>
      </w:r>
      <w:r w:rsidRPr="008A38D3">
        <w:rPr>
          <w:rFonts w:ascii="Arial" w:hAnsi="Arial" w:cs="Arial"/>
          <w:b/>
          <w:szCs w:val="20"/>
        </w:rPr>
        <w:t>630 733 tis. Eur</w:t>
      </w:r>
      <w:r w:rsidRPr="008A38D3">
        <w:rPr>
          <w:rFonts w:ascii="Arial" w:hAnsi="Arial" w:cs="Arial"/>
          <w:szCs w:val="20"/>
        </w:rPr>
        <w:t>,</w:t>
      </w:r>
      <w:r w:rsidRPr="008A38D3">
        <w:rPr>
          <w:rFonts w:ascii="Arial" w:hAnsi="Arial" w:cs="Arial"/>
          <w:szCs w:val="20"/>
        </w:rPr>
        <w:br/>
        <w:t>čo je 85,38 % v roku 2011 predpokladanej sumy</w:t>
      </w:r>
      <w:r w:rsidRPr="008A38D3">
        <w:rPr>
          <w:rFonts w:ascii="Arial" w:hAnsi="Arial" w:cs="Arial"/>
          <w:szCs w:val="20"/>
        </w:rPr>
        <w:tab/>
        <w:t>738 728 tis. Eur.</w:t>
      </w:r>
      <w:r w:rsidRPr="008A38D3">
        <w:rPr>
          <w:rFonts w:ascii="Arial" w:hAnsi="Arial" w:cs="Arial"/>
          <w:szCs w:val="20"/>
        </w:rPr>
        <w:br/>
        <w:t>V tom príspevky na SDS za:</w:t>
      </w:r>
    </w:p>
    <w:p w:rsidR="008A38D3" w:rsidRPr="008A38D3" w:rsidRDefault="008A38D3" w:rsidP="008A38D3">
      <w:pPr>
        <w:tabs>
          <w:tab w:val="decimal" w:pos="8280"/>
        </w:tabs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- zamestnancov</w:t>
      </w:r>
      <w:r w:rsidRPr="008A38D3">
        <w:rPr>
          <w:rFonts w:ascii="Arial" w:hAnsi="Arial" w:cs="Arial"/>
          <w:szCs w:val="20"/>
        </w:rPr>
        <w:tab/>
        <w:t>590 914 tis. Eur,</w:t>
      </w:r>
    </w:p>
    <w:p w:rsidR="008A38D3" w:rsidRPr="008A38D3" w:rsidRDefault="008A38D3" w:rsidP="008A38D3">
      <w:pPr>
        <w:tabs>
          <w:tab w:val="decimal" w:pos="8280"/>
        </w:tabs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- SZČO</w:t>
      </w:r>
      <w:r w:rsidRPr="008A38D3">
        <w:rPr>
          <w:rFonts w:ascii="Arial" w:hAnsi="Arial" w:cs="Arial"/>
          <w:szCs w:val="20"/>
        </w:rPr>
        <w:tab/>
        <w:t>37 908 tis. Eur,</w:t>
      </w:r>
    </w:p>
    <w:p w:rsidR="008A38D3" w:rsidRPr="008A38D3" w:rsidRDefault="008A38D3" w:rsidP="008A38D3">
      <w:pPr>
        <w:tabs>
          <w:tab w:val="decimal" w:pos="8280"/>
        </w:tabs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- DPO</w:t>
      </w:r>
      <w:r w:rsidRPr="008A38D3">
        <w:rPr>
          <w:rFonts w:ascii="Arial" w:hAnsi="Arial" w:cs="Arial"/>
          <w:szCs w:val="20"/>
        </w:rPr>
        <w:tab/>
        <w:t>1 911 tis. Eur.</w:t>
      </w:r>
    </w:p>
    <w:p w:rsidR="008A38D3" w:rsidRPr="008A38D3" w:rsidRDefault="008A38D3" w:rsidP="008A38D3">
      <w:pPr>
        <w:tabs>
          <w:tab w:val="decimal" w:pos="8280"/>
        </w:tabs>
        <w:spacing w:before="240"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ab/>
        <w:t>Príspevky na SDS uhradené zo základného fondu garančného poistenia boli postúpené v sume</w:t>
      </w:r>
      <w:r w:rsidRPr="008A38D3">
        <w:rPr>
          <w:rFonts w:ascii="Arial" w:hAnsi="Arial" w:cs="Arial"/>
          <w:szCs w:val="20"/>
        </w:rPr>
        <w:tab/>
      </w:r>
      <w:r w:rsidRPr="008A38D3">
        <w:rPr>
          <w:rFonts w:ascii="Arial" w:hAnsi="Arial" w:cs="Arial"/>
          <w:b/>
          <w:szCs w:val="20"/>
        </w:rPr>
        <w:t>26 111 tis. Eur</w:t>
      </w:r>
      <w:r w:rsidRPr="008A38D3">
        <w:rPr>
          <w:rFonts w:ascii="Arial" w:hAnsi="Arial" w:cs="Arial"/>
          <w:szCs w:val="20"/>
        </w:rPr>
        <w:t>.</w:t>
      </w:r>
    </w:p>
    <w:p w:rsidR="008A38D3" w:rsidRPr="008A38D3" w:rsidRDefault="008A38D3" w:rsidP="008A38D3">
      <w:pPr>
        <w:tabs>
          <w:tab w:val="decimal" w:pos="7740"/>
        </w:tabs>
        <w:spacing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Príspevky na SDS za sporiteľov štátu boli postúpené v sume </w:t>
      </w:r>
      <w:r w:rsidRPr="008A38D3">
        <w:rPr>
          <w:rFonts w:ascii="Arial" w:hAnsi="Arial" w:cs="Arial"/>
          <w:b/>
          <w:szCs w:val="20"/>
        </w:rPr>
        <w:t xml:space="preserve"> 47 059 tis. Eur,</w:t>
      </w:r>
      <w:r w:rsidRPr="008A38D3">
        <w:rPr>
          <w:rFonts w:ascii="Arial" w:hAnsi="Arial" w:cs="Arial"/>
          <w:b/>
          <w:szCs w:val="20"/>
        </w:rPr>
        <w:br/>
      </w:r>
      <w:r w:rsidRPr="008A38D3">
        <w:rPr>
          <w:rFonts w:ascii="Arial" w:hAnsi="Arial" w:cs="Arial"/>
          <w:szCs w:val="20"/>
        </w:rPr>
        <w:t>čo je 81,22 % v roku 2011 predpokladanej sumy</w:t>
      </w:r>
      <w:r w:rsidRPr="008A38D3">
        <w:rPr>
          <w:rFonts w:ascii="Arial" w:hAnsi="Arial" w:cs="Arial"/>
          <w:szCs w:val="20"/>
        </w:rPr>
        <w:tab/>
        <w:t xml:space="preserve">                                  57 942 tis. Eur.</w:t>
      </w:r>
    </w:p>
    <w:p w:rsidR="008A38D3" w:rsidRPr="008A38D3" w:rsidRDefault="008A38D3" w:rsidP="008A38D3">
      <w:pPr>
        <w:tabs>
          <w:tab w:val="decimal" w:pos="8280"/>
        </w:tabs>
        <w:spacing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Sociálna poisťovňa postúpila príspevky na SDS za sporiteľov, ktorí sa stali poberateľmi úrazovej renty a doplatky za poberateľov invalidného dôchodku (za predchádzajúce obdobia) v sume</w:t>
      </w:r>
      <w:r w:rsidRPr="008A38D3">
        <w:rPr>
          <w:rFonts w:ascii="Arial" w:hAnsi="Arial" w:cs="Arial"/>
          <w:szCs w:val="20"/>
        </w:rPr>
        <w:tab/>
      </w:r>
      <w:r w:rsidRPr="008A38D3">
        <w:rPr>
          <w:rFonts w:ascii="Arial" w:hAnsi="Arial" w:cs="Arial"/>
          <w:b/>
          <w:szCs w:val="20"/>
        </w:rPr>
        <w:t>229 tis. Eur.</w:t>
      </w:r>
    </w:p>
    <w:p w:rsidR="008A38D3" w:rsidRPr="008A38D3" w:rsidRDefault="008A38D3" w:rsidP="008A38D3">
      <w:pPr>
        <w:tabs>
          <w:tab w:val="decimal" w:pos="8280"/>
        </w:tabs>
        <w:spacing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Zo správneho fondu bolo za hodnotené obdobie zaplatené penále v sume 45 tis. Eur.</w:t>
      </w:r>
    </w:p>
    <w:p w:rsidR="008A38D3" w:rsidRPr="008A38D3" w:rsidRDefault="008A38D3" w:rsidP="008A38D3">
      <w:pPr>
        <w:spacing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V hodnotenom období boli postúpené príspevky na SDS vrátane penále v celkovej sume </w:t>
      </w:r>
      <w:r w:rsidRPr="008A38D3">
        <w:rPr>
          <w:rFonts w:ascii="Arial" w:hAnsi="Arial" w:cs="Arial"/>
          <w:b/>
          <w:szCs w:val="20"/>
        </w:rPr>
        <w:t>704 177 tis Eur</w:t>
      </w:r>
      <w:r w:rsidRPr="008A38D3">
        <w:rPr>
          <w:rFonts w:ascii="Arial" w:hAnsi="Arial" w:cs="Arial"/>
          <w:szCs w:val="20"/>
        </w:rPr>
        <w:t>, čo je v porovnaní s rovnakým obdobím minulého roka (666 422 tis. Eur) viac o 37 755 tis. Eur.</w:t>
      </w:r>
    </w:p>
    <w:p w:rsidR="008A38D3" w:rsidRDefault="008A38D3" w:rsidP="008A38D3">
      <w:pPr>
        <w:tabs>
          <w:tab w:val="decimal" w:pos="8280"/>
        </w:tabs>
        <w:spacing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Ku koncu októbra 2011 evidovala Sociálna poisťovňa</w:t>
      </w:r>
      <w:r w:rsidRPr="008A38D3">
        <w:rPr>
          <w:rFonts w:ascii="Arial" w:hAnsi="Arial" w:cs="Arial"/>
          <w:szCs w:val="20"/>
        </w:rPr>
        <w:tab/>
        <w:t xml:space="preserve"> 1 448 973 sporiteľov, čo predstavuje od začiatku tohto roka prírastok 6 915 sporiteľov. Prehľad o štruktúre sporiteľov vyjadruje nasledovná tabuľka:</w:t>
      </w:r>
    </w:p>
    <w:p w:rsidR="008A38D3" w:rsidRPr="008A38D3" w:rsidRDefault="008A38D3" w:rsidP="008A38D3">
      <w:pPr>
        <w:tabs>
          <w:tab w:val="decimal" w:pos="8280"/>
        </w:tabs>
        <w:spacing w:after="120"/>
        <w:ind w:firstLine="709"/>
        <w:jc w:val="both"/>
        <w:rPr>
          <w:rFonts w:ascii="Arial" w:hAnsi="Arial" w:cs="Arial"/>
          <w:szCs w:val="20"/>
        </w:rPr>
      </w:pPr>
    </w:p>
    <w:tbl>
      <w:tblPr>
        <w:tblW w:w="8629" w:type="dxa"/>
        <w:tblInd w:w="37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9"/>
        <w:gridCol w:w="6804"/>
        <w:gridCol w:w="1276"/>
      </w:tblGrid>
      <w:tr w:rsidR="008A38D3" w:rsidRPr="008A38D3" w:rsidTr="00752E8B">
        <w:trPr>
          <w:trHeight w:val="255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1.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zamestnanci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945 717</w:t>
            </w:r>
          </w:p>
        </w:tc>
      </w:tr>
      <w:tr w:rsidR="008A38D3" w:rsidRPr="008A38D3" w:rsidTr="00752E8B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2.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SZČO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130 929</w:t>
            </w:r>
          </w:p>
        </w:tc>
      </w:tr>
      <w:tr w:rsidR="008A38D3" w:rsidRPr="008A38D3" w:rsidTr="00752E8B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3.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DPO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6 055</w:t>
            </w:r>
          </w:p>
        </w:tc>
      </w:tr>
      <w:tr w:rsidR="008A38D3" w:rsidRPr="008A38D3" w:rsidTr="00752E8B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4.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sporitelia, za ktorých platí príspevky na SDS štát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128 152</w:t>
            </w:r>
          </w:p>
        </w:tc>
      </w:tr>
      <w:tr w:rsidR="008A38D3" w:rsidRPr="008A38D3" w:rsidTr="00752E8B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 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v tom: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 </w:t>
            </w:r>
          </w:p>
        </w:tc>
      </w:tr>
      <w:tr w:rsidR="008A38D3" w:rsidRPr="008A38D3" w:rsidTr="00752E8B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 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a)  osoba starajúca sa o dieťa do 6 rokov veku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109 285</w:t>
            </w:r>
          </w:p>
        </w:tc>
      </w:tr>
      <w:tr w:rsidR="008A38D3" w:rsidRPr="008A38D3" w:rsidTr="00752E8B">
        <w:trPr>
          <w:trHeight w:val="510"/>
        </w:trPr>
        <w:tc>
          <w:tcPr>
            <w:tcW w:w="5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 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b)  osoba, ktorá sa stará o dieťa s nepriaznivým zdravotným stavom do 18 rokov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1 293</w:t>
            </w:r>
          </w:p>
        </w:tc>
      </w:tr>
      <w:tr w:rsidR="008A38D3" w:rsidRPr="008A38D3" w:rsidTr="00752E8B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 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c)  osoba poberajúca peňažný príspevok za opatrovanie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5 585</w:t>
            </w:r>
          </w:p>
        </w:tc>
      </w:tr>
      <w:tr w:rsidR="008A38D3" w:rsidRPr="008A38D3" w:rsidTr="00752E8B">
        <w:trPr>
          <w:trHeight w:val="600"/>
        </w:trPr>
        <w:tc>
          <w:tcPr>
            <w:tcW w:w="5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 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d) osoba, ktorá vykonáva osobnú asistenciu fyzickej osoby s ťažkým zdravotným postihnutím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180</w:t>
            </w:r>
          </w:p>
        </w:tc>
      </w:tr>
      <w:tr w:rsidR="008A38D3" w:rsidRPr="008A38D3" w:rsidTr="00752E8B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 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 xml:space="preserve">e) osoba, ktorej sa poskytuje materské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11 809</w:t>
            </w:r>
          </w:p>
        </w:tc>
      </w:tr>
      <w:tr w:rsidR="008A38D3" w:rsidRPr="008A38D3" w:rsidTr="00752E8B">
        <w:trPr>
          <w:trHeight w:val="51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5.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sporitelia, za ktorých platí príspevky na SDS Sociálna poisťovňa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31 266</w:t>
            </w:r>
          </w:p>
        </w:tc>
      </w:tr>
      <w:tr w:rsidR="008A38D3" w:rsidRPr="008A38D3" w:rsidTr="00752E8B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6.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bez účasti na SDS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206 854</w:t>
            </w:r>
          </w:p>
        </w:tc>
      </w:tr>
    </w:tbl>
    <w:p w:rsidR="008A38D3" w:rsidRPr="008A38D3" w:rsidRDefault="008A38D3" w:rsidP="008A38D3">
      <w:pPr>
        <w:tabs>
          <w:tab w:val="decimal" w:pos="8280"/>
        </w:tabs>
        <w:spacing w:before="240" w:after="120"/>
        <w:ind w:firstLine="709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Od roku 2005 do 31. októbra 2011 evidovala Sociálna poisťovňa 212 376 žiadostí o prestup do inej DSS. Z nich bolo realizovaných 167 540 prestupov. Od začiatku tohto roka je ich nárast o 5 546 zrealizovaných prestupov.</w:t>
      </w:r>
    </w:p>
    <w:p w:rsidR="008A38D3" w:rsidRPr="008A38D3" w:rsidRDefault="008A38D3" w:rsidP="008A38D3">
      <w:pPr>
        <w:tabs>
          <w:tab w:val="decimal" w:pos="8100"/>
        </w:tabs>
        <w:spacing w:after="120"/>
        <w:ind w:right="-159"/>
        <w:jc w:val="center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 xml:space="preserve">x  </w:t>
      </w:r>
      <w:proofErr w:type="spellStart"/>
      <w:r w:rsidRPr="008A38D3">
        <w:rPr>
          <w:rFonts w:ascii="Arial" w:hAnsi="Arial" w:cs="Arial"/>
          <w:szCs w:val="20"/>
        </w:rPr>
        <w:t>x</w:t>
      </w:r>
      <w:proofErr w:type="spellEnd"/>
      <w:r w:rsidRPr="008A38D3">
        <w:rPr>
          <w:rFonts w:ascii="Arial" w:hAnsi="Arial" w:cs="Arial"/>
          <w:szCs w:val="20"/>
        </w:rPr>
        <w:t xml:space="preserve">  </w:t>
      </w:r>
      <w:proofErr w:type="spellStart"/>
      <w:r w:rsidRPr="008A38D3">
        <w:rPr>
          <w:rFonts w:ascii="Arial" w:hAnsi="Arial" w:cs="Arial"/>
          <w:szCs w:val="20"/>
        </w:rPr>
        <w:t>x</w:t>
      </w:r>
      <w:proofErr w:type="spellEnd"/>
    </w:p>
    <w:p w:rsidR="008A38D3" w:rsidRPr="008A38D3" w:rsidRDefault="008A38D3" w:rsidP="008A38D3">
      <w:pPr>
        <w:spacing w:before="240" w:after="120"/>
        <w:ind w:firstLine="709"/>
        <w:jc w:val="both"/>
        <w:rPr>
          <w:rFonts w:ascii="Arial" w:hAnsi="Arial" w:cs="Arial"/>
          <w:b/>
        </w:rPr>
      </w:pPr>
      <w:r w:rsidRPr="008A38D3">
        <w:rPr>
          <w:rFonts w:ascii="Arial" w:hAnsi="Arial" w:cs="Arial"/>
          <w:b/>
        </w:rPr>
        <w:t>Očakávané výsledky hospodárenia Sociálnej poisťovne v roku 2011</w:t>
      </w:r>
    </w:p>
    <w:p w:rsidR="008A38D3" w:rsidRPr="008A38D3" w:rsidRDefault="008A38D3" w:rsidP="008A38D3">
      <w:pPr>
        <w:spacing w:before="120" w:after="120"/>
        <w:ind w:firstLine="72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>Východiskom pre zostavenie očakávanej skutočnosti v roku 2011 boli výsledky hospodárenia za obdobie mesiacov január až september 2011 a predpokladané príjmy a výdavky do konca tohto roka na základe prepočtov zohľadňujúcich makroekonomické ukazovatele vydané Inštitútom finančnej politiky Ministerstva financií Slovenskej republiky (IFP MF SR) dňa 2. novembra 2011.</w:t>
      </w:r>
    </w:p>
    <w:p w:rsidR="008A38D3" w:rsidRPr="008A38D3" w:rsidRDefault="008A38D3" w:rsidP="008A38D3">
      <w:pPr>
        <w:spacing w:before="240" w:after="120"/>
        <w:ind w:firstLine="720"/>
        <w:jc w:val="both"/>
        <w:rPr>
          <w:rFonts w:ascii="Arial" w:hAnsi="Arial" w:cs="Arial"/>
          <w:b/>
        </w:rPr>
      </w:pPr>
      <w:r w:rsidRPr="008A38D3">
        <w:rPr>
          <w:rFonts w:ascii="Arial" w:hAnsi="Arial" w:cs="Arial"/>
          <w:b/>
        </w:rPr>
        <w:t>Príjmy</w:t>
      </w:r>
    </w:p>
    <w:p w:rsidR="008A38D3" w:rsidRPr="008A38D3" w:rsidRDefault="008A38D3" w:rsidP="008A38D3">
      <w:pPr>
        <w:spacing w:before="240" w:after="120"/>
        <w:ind w:firstLine="72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 xml:space="preserve">Východiskom pre zostavenie príjmov bol skutočný vývoj príjmov z poistného a príspevkov na SDS od zamestnancov, zamestnávateľov, samostatne zárobkovo činných osôb a dobrovoľne poistených osôb spolu, ako aj vývoj dlžného poistného v deviatich mesiacoch roka 2011 a vplyv makroekonomických ukazovateľov. </w:t>
      </w:r>
    </w:p>
    <w:p w:rsidR="008A38D3" w:rsidRDefault="008A38D3" w:rsidP="008A38D3">
      <w:pPr>
        <w:spacing w:before="240" w:after="120"/>
        <w:ind w:firstLine="72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 xml:space="preserve">Príjmy Sociálnej poisťovne sa </w:t>
      </w:r>
      <w:r w:rsidRPr="008A38D3">
        <w:rPr>
          <w:rFonts w:ascii="Arial" w:hAnsi="Arial" w:cs="Arial"/>
          <w:b/>
        </w:rPr>
        <w:t>v roku 2011 očakávajú</w:t>
      </w:r>
      <w:r w:rsidRPr="008A38D3">
        <w:rPr>
          <w:rFonts w:ascii="Arial" w:hAnsi="Arial" w:cs="Arial"/>
        </w:rPr>
        <w:t xml:space="preserve"> takéto: </w:t>
      </w:r>
    </w:p>
    <w:p w:rsidR="008A38D3" w:rsidRDefault="008A38D3" w:rsidP="008A38D3">
      <w:pPr>
        <w:spacing w:before="240" w:after="120"/>
        <w:ind w:firstLine="720"/>
        <w:jc w:val="both"/>
        <w:rPr>
          <w:rFonts w:ascii="Arial" w:hAnsi="Arial" w:cs="Arial"/>
        </w:rPr>
      </w:pPr>
    </w:p>
    <w:p w:rsidR="008A38D3" w:rsidRDefault="008A38D3" w:rsidP="008A38D3">
      <w:pPr>
        <w:spacing w:before="240" w:after="120"/>
        <w:ind w:firstLine="720"/>
        <w:jc w:val="both"/>
        <w:rPr>
          <w:rFonts w:ascii="Arial" w:hAnsi="Arial" w:cs="Arial"/>
        </w:rPr>
      </w:pPr>
    </w:p>
    <w:p w:rsidR="008A38D3" w:rsidRDefault="008A38D3" w:rsidP="008A38D3">
      <w:pPr>
        <w:spacing w:before="240" w:after="120"/>
        <w:ind w:firstLine="720"/>
        <w:jc w:val="both"/>
        <w:rPr>
          <w:rFonts w:ascii="Arial" w:hAnsi="Arial" w:cs="Arial"/>
        </w:rPr>
      </w:pPr>
    </w:p>
    <w:p w:rsidR="008A38D3" w:rsidRDefault="008A38D3" w:rsidP="008A38D3">
      <w:pPr>
        <w:spacing w:before="240" w:after="120"/>
        <w:ind w:firstLine="720"/>
        <w:jc w:val="both"/>
        <w:rPr>
          <w:rFonts w:ascii="Arial" w:hAnsi="Arial" w:cs="Arial"/>
        </w:rPr>
      </w:pPr>
    </w:p>
    <w:p w:rsidR="008A38D3" w:rsidRDefault="008A38D3" w:rsidP="008A38D3">
      <w:pPr>
        <w:spacing w:before="240" w:after="120"/>
        <w:ind w:firstLine="720"/>
        <w:jc w:val="both"/>
        <w:rPr>
          <w:rFonts w:ascii="Arial" w:hAnsi="Arial" w:cs="Arial"/>
        </w:rPr>
      </w:pPr>
    </w:p>
    <w:p w:rsidR="008A38D3" w:rsidRDefault="008A38D3" w:rsidP="008A38D3">
      <w:pPr>
        <w:spacing w:before="240" w:after="120"/>
        <w:ind w:firstLine="720"/>
        <w:jc w:val="both"/>
        <w:rPr>
          <w:rFonts w:ascii="Arial" w:hAnsi="Arial" w:cs="Arial"/>
        </w:rPr>
      </w:pPr>
    </w:p>
    <w:p w:rsidR="008A38D3" w:rsidRDefault="008A38D3" w:rsidP="008A38D3">
      <w:pPr>
        <w:spacing w:before="240" w:after="120"/>
        <w:ind w:firstLine="720"/>
        <w:jc w:val="both"/>
        <w:rPr>
          <w:rFonts w:ascii="Arial" w:hAnsi="Arial" w:cs="Arial"/>
        </w:rPr>
      </w:pPr>
    </w:p>
    <w:p w:rsidR="008A38D3" w:rsidRPr="008A38D3" w:rsidRDefault="008A38D3" w:rsidP="008A38D3">
      <w:pPr>
        <w:spacing w:before="240" w:after="120"/>
        <w:ind w:firstLine="720"/>
        <w:jc w:val="both"/>
        <w:rPr>
          <w:rFonts w:ascii="Arial" w:hAnsi="Arial" w:cs="Arial"/>
        </w:rPr>
      </w:pPr>
    </w:p>
    <w:tbl>
      <w:tblPr>
        <w:tblW w:w="9229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10"/>
        <w:gridCol w:w="1275"/>
        <w:gridCol w:w="1300"/>
        <w:gridCol w:w="1300"/>
        <w:gridCol w:w="944"/>
      </w:tblGrid>
      <w:tr w:rsidR="008A38D3" w:rsidRPr="008A38D3" w:rsidTr="00752E8B">
        <w:trPr>
          <w:trHeight w:val="300"/>
        </w:trPr>
        <w:tc>
          <w:tcPr>
            <w:tcW w:w="4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v tis. Eur</w:t>
            </w:r>
          </w:p>
        </w:tc>
      </w:tr>
      <w:tr w:rsidR="008A38D3" w:rsidRPr="008A38D3" w:rsidTr="00752E8B">
        <w:trPr>
          <w:trHeight w:val="615"/>
        </w:trPr>
        <w:tc>
          <w:tcPr>
            <w:tcW w:w="4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Príjmy s vplyvom II. piliera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Schválený rozpočet rok 2011</w:t>
            </w:r>
          </w:p>
        </w:tc>
        <w:tc>
          <w:tcPr>
            <w:tcW w:w="13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Upravený rozpočet  rok 2011</w:t>
            </w:r>
          </w:p>
        </w:tc>
        <w:tc>
          <w:tcPr>
            <w:tcW w:w="13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Očakávaná skutočnosť v roku 2011</w:t>
            </w:r>
          </w:p>
        </w:tc>
        <w:tc>
          <w:tcPr>
            <w:tcW w:w="9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Rozdiel (3-2)</w:t>
            </w:r>
          </w:p>
        </w:tc>
      </w:tr>
      <w:tr w:rsidR="008A38D3" w:rsidRPr="008A38D3" w:rsidTr="00752E8B">
        <w:trPr>
          <w:trHeight w:val="315"/>
        </w:trPr>
        <w:tc>
          <w:tcPr>
            <w:tcW w:w="4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38D3" w:rsidRPr="008A38D3" w:rsidTr="00752E8B">
        <w:trPr>
          <w:trHeight w:val="300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a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8A38D3" w:rsidRPr="008A38D3" w:rsidTr="00752E8B">
        <w:trPr>
          <w:trHeight w:val="300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celkom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6 350 829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6 340 851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6 247 641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-93 210</w:t>
            </w:r>
          </w:p>
        </w:tc>
      </w:tr>
      <w:tr w:rsidR="008A38D3" w:rsidRPr="008A38D3" w:rsidTr="00752E8B">
        <w:trPr>
          <w:trHeight w:val="300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v tom: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8A38D3" w:rsidRPr="008A38D3" w:rsidTr="00752E8B">
        <w:trPr>
          <w:trHeight w:val="368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z bežného poistného od EAO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4 367 869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4 357 893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4 255 035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-102 858</w:t>
            </w:r>
          </w:p>
        </w:tc>
      </w:tr>
      <w:tr w:rsidR="008A38D3" w:rsidRPr="008A38D3" w:rsidTr="00752E8B">
        <w:trPr>
          <w:trHeight w:val="300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príjmy z dlžného poistného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167 549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167 549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325 620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158 071</w:t>
            </w:r>
          </w:p>
        </w:tc>
      </w:tr>
      <w:tr w:rsidR="008A38D3" w:rsidRPr="008A38D3" w:rsidTr="00752E8B">
        <w:trPr>
          <w:trHeight w:val="300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zo sankcií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2 490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2 490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4 445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1 955</w:t>
            </w:r>
          </w:p>
        </w:tc>
      </w:tr>
      <w:tr w:rsidR="008A38D3" w:rsidRPr="008A38D3" w:rsidTr="00752E8B">
        <w:trPr>
          <w:trHeight w:val="300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z poistného od štátu vrátane 0,5 % z príspevkov na SDS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168 275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168 275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174 106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5 831</w:t>
            </w:r>
          </w:p>
        </w:tc>
      </w:tr>
      <w:tr w:rsidR="008A38D3" w:rsidRPr="008A38D3" w:rsidTr="00752E8B">
        <w:trPr>
          <w:trHeight w:val="300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od Sociálnej poisťovne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1 888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1 888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1 834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-54</w:t>
            </w:r>
          </w:p>
        </w:tc>
      </w:tr>
      <w:tr w:rsidR="008A38D3" w:rsidRPr="008A38D3" w:rsidTr="00752E8B">
        <w:trPr>
          <w:trHeight w:val="300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ostatné príjmy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1 619 457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1 619 455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1 456 972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-162 483</w:t>
            </w:r>
          </w:p>
        </w:tc>
      </w:tr>
      <w:tr w:rsidR="008A38D3" w:rsidRPr="008A38D3" w:rsidTr="00752E8B">
        <w:trPr>
          <w:trHeight w:val="300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 toho príjmy zo ŠR SR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1 608 733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1 608 733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1 446 193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-162 540</w:t>
            </w:r>
          </w:p>
        </w:tc>
      </w:tr>
      <w:tr w:rsidR="008A38D3" w:rsidRPr="008A38D3" w:rsidTr="00752E8B">
        <w:trPr>
          <w:trHeight w:val="555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príspevky na SDS zaplatené zamestnávateľom po uplynutí 60 dní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19 492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19 492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25 725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6 233</w:t>
            </w:r>
          </w:p>
        </w:tc>
      </w:tr>
      <w:tr w:rsidR="008A38D3" w:rsidRPr="008A38D3" w:rsidTr="00752E8B">
        <w:trPr>
          <w:trHeight w:val="300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príjmy správneho fondu z príspevkov na SDS (EAO)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3 809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3 809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3 904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95</w:t>
            </w:r>
          </w:p>
        </w:tc>
      </w:tr>
    </w:tbl>
    <w:p w:rsidR="008A38D3" w:rsidRPr="008A38D3" w:rsidRDefault="008A38D3" w:rsidP="008A38D3">
      <w:pPr>
        <w:spacing w:after="120"/>
        <w:ind w:firstLine="720"/>
        <w:jc w:val="both"/>
        <w:rPr>
          <w:rFonts w:ascii="Arial" w:hAnsi="Arial" w:cs="Arial"/>
        </w:rPr>
      </w:pPr>
    </w:p>
    <w:p w:rsidR="008A38D3" w:rsidRPr="008A38D3" w:rsidRDefault="008A38D3" w:rsidP="008A38D3">
      <w:pPr>
        <w:spacing w:after="120"/>
        <w:ind w:firstLine="72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 xml:space="preserve">V roku 2011 sa očakávajú </w:t>
      </w:r>
      <w:r w:rsidRPr="008A38D3">
        <w:rPr>
          <w:rFonts w:ascii="Arial" w:hAnsi="Arial" w:cs="Arial"/>
          <w:b/>
        </w:rPr>
        <w:t xml:space="preserve">nižšie príjmy celkom </w:t>
      </w:r>
      <w:r w:rsidRPr="008A38D3">
        <w:rPr>
          <w:rFonts w:ascii="Arial" w:hAnsi="Arial" w:cs="Arial"/>
        </w:rPr>
        <w:t xml:space="preserve">oproti upravenému rozpočtu na rok 2011 </w:t>
      </w:r>
      <w:r w:rsidRPr="008A38D3">
        <w:rPr>
          <w:rFonts w:ascii="Arial" w:hAnsi="Arial" w:cs="Arial"/>
          <w:b/>
        </w:rPr>
        <w:t>o 93 210 tis. Eur</w:t>
      </w:r>
      <w:r w:rsidRPr="008A38D3">
        <w:rPr>
          <w:rFonts w:ascii="Arial" w:hAnsi="Arial" w:cs="Arial"/>
        </w:rPr>
        <w:t>. Nižšie sa očakávajú príjmy z bežného poistného</w:t>
      </w:r>
      <w:r w:rsidRPr="008A38D3">
        <w:rPr>
          <w:rFonts w:ascii="Arial" w:hAnsi="Arial" w:cs="Arial"/>
          <w:color w:val="FF0000"/>
        </w:rPr>
        <w:t xml:space="preserve"> </w:t>
      </w:r>
      <w:r w:rsidRPr="008A38D3">
        <w:rPr>
          <w:rFonts w:ascii="Arial" w:hAnsi="Arial" w:cs="Arial"/>
        </w:rPr>
        <w:t>od EAO o 102 858 tis. Eur. Na uvedené má vplyv aj skutočnosť, že sa v roku 2011 očakáva DSS postúpiť príspevky na SDS za EAO v sume 751 171 tis. Eur, čo je o 12 443 tis. Eur viac, ako bolo zapracované v rozpočte. Príjmy z dlžného poistného sa predpokladajú vo výške 325 620 tis. Eur, čo predstavuje prekročenie v absolútnej sume 158 071 tis. Eur a súvisí s realizovaným oddlžením zdravotníckych zariadení vo výške 59 068 tis. Eur. Zároveň sa predpokladá nižší transfer zo ŠR SR o 162 540 tis. Eur.</w:t>
      </w:r>
    </w:p>
    <w:p w:rsidR="008A38D3" w:rsidRPr="008A38D3" w:rsidRDefault="008A38D3" w:rsidP="008A38D3">
      <w:pPr>
        <w:spacing w:before="240" w:after="120"/>
        <w:ind w:firstLine="72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>V očakávanej skutočnosti ostatných príjmov je zapracovaný transfer finančných prostriedkov zo ŠR SR v sume 1 446 193 tis. Eur, v tom v základnom fonde starobného poistenia v sume 1 402 405 tis. Eur na krytie deficitu vzniknutého dôsledkom zavedenia II. piliera a ako finančná výpomoc z dôvodu platobnej neschopnosti základného fondu starobného poistenia, v zmysle § 157 ods. 4 zákona č. 461/2003 Z. z. o sociálnom poistení v znení neskorších predpisov a o zmene a doplnení niektorých zákonov (ďalej len „zákon o sociálnom poistení“) a v rezervnom fonde solidarity v sume 43 788 tis. Eur, v zmysle § 293bg ods. 3 zákona o sociálnom poistení, ktorým bola znížená sadzba poistného do rezervného fondu solidarity v období od 1. apríla 2009 do 31. decembra 2010 pre povinne dôchodkovo poistenú samostatne zárobkovo činnú osobu.</w:t>
      </w:r>
    </w:p>
    <w:p w:rsidR="008A38D3" w:rsidRPr="008A38D3" w:rsidRDefault="008A38D3" w:rsidP="008A38D3">
      <w:pPr>
        <w:spacing w:before="240" w:after="120"/>
        <w:ind w:firstLine="720"/>
        <w:jc w:val="both"/>
        <w:rPr>
          <w:rFonts w:ascii="Arial" w:hAnsi="Arial" w:cs="Arial"/>
          <w:b/>
        </w:rPr>
      </w:pPr>
      <w:r w:rsidRPr="008A38D3">
        <w:rPr>
          <w:rFonts w:ascii="Arial" w:hAnsi="Arial" w:cs="Arial"/>
          <w:b/>
        </w:rPr>
        <w:t xml:space="preserve">Výdavky </w:t>
      </w:r>
    </w:p>
    <w:p w:rsidR="008A38D3" w:rsidRDefault="008A38D3" w:rsidP="008A38D3">
      <w:pPr>
        <w:spacing w:before="240" w:after="120"/>
        <w:ind w:firstLine="709"/>
        <w:jc w:val="both"/>
        <w:rPr>
          <w:rFonts w:ascii="Arial" w:hAnsi="Arial" w:cs="Arial"/>
        </w:rPr>
      </w:pPr>
      <w:r w:rsidRPr="008A38D3">
        <w:rPr>
          <w:rFonts w:ascii="Arial" w:hAnsi="Arial" w:cs="Arial"/>
          <w:b/>
        </w:rPr>
        <w:t xml:space="preserve">Výdavky (náklady) </w:t>
      </w:r>
      <w:r w:rsidRPr="008A38D3">
        <w:rPr>
          <w:rFonts w:ascii="Arial" w:hAnsi="Arial" w:cs="Arial"/>
        </w:rPr>
        <w:t xml:space="preserve">Sociálnej poisťovne sa </w:t>
      </w:r>
      <w:r w:rsidRPr="008A38D3">
        <w:rPr>
          <w:rFonts w:ascii="Arial" w:hAnsi="Arial" w:cs="Arial"/>
          <w:b/>
        </w:rPr>
        <w:t xml:space="preserve">v roku 2011 </w:t>
      </w:r>
      <w:r w:rsidRPr="008A38D3">
        <w:rPr>
          <w:rFonts w:ascii="Arial" w:hAnsi="Arial" w:cs="Arial"/>
        </w:rPr>
        <w:t>očakávajú takéto:</w:t>
      </w:r>
    </w:p>
    <w:p w:rsidR="008A38D3" w:rsidRDefault="008A38D3" w:rsidP="008A38D3">
      <w:pPr>
        <w:spacing w:before="240" w:after="120"/>
        <w:ind w:firstLine="709"/>
        <w:jc w:val="both"/>
        <w:rPr>
          <w:rFonts w:ascii="Arial" w:hAnsi="Arial" w:cs="Arial"/>
        </w:rPr>
      </w:pPr>
    </w:p>
    <w:p w:rsidR="008A38D3" w:rsidRPr="008A38D3" w:rsidRDefault="008A38D3" w:rsidP="008A38D3">
      <w:pPr>
        <w:spacing w:before="240" w:after="120"/>
        <w:ind w:firstLine="709"/>
        <w:jc w:val="both"/>
        <w:rPr>
          <w:rFonts w:ascii="Arial" w:hAnsi="Arial" w:cs="Arial"/>
        </w:rPr>
      </w:pPr>
    </w:p>
    <w:tbl>
      <w:tblPr>
        <w:tblW w:w="9436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08"/>
        <w:gridCol w:w="1328"/>
        <w:gridCol w:w="79"/>
        <w:gridCol w:w="1407"/>
        <w:gridCol w:w="60"/>
        <w:gridCol w:w="1347"/>
        <w:gridCol w:w="40"/>
        <w:gridCol w:w="1367"/>
      </w:tblGrid>
      <w:tr w:rsidR="008A38D3" w:rsidRPr="008A38D3" w:rsidTr="00752E8B">
        <w:trPr>
          <w:trHeight w:val="255"/>
        </w:trPr>
        <w:tc>
          <w:tcPr>
            <w:tcW w:w="38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8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v tis. Eur</w:t>
            </w:r>
          </w:p>
        </w:tc>
      </w:tr>
      <w:tr w:rsidR="008A38D3" w:rsidRPr="008A38D3" w:rsidTr="00752E8B">
        <w:trPr>
          <w:trHeight w:val="765"/>
        </w:trPr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Ukazovateľ</w:t>
            </w:r>
          </w:p>
        </w:tc>
        <w:tc>
          <w:tcPr>
            <w:tcW w:w="14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Schválený rozpočet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 xml:space="preserve">Upravený rozpočet </w:t>
            </w:r>
          </w:p>
        </w:tc>
        <w:tc>
          <w:tcPr>
            <w:tcW w:w="14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Očakávaná skutočnosť  rok 2011</w:t>
            </w:r>
          </w:p>
        </w:tc>
        <w:tc>
          <w:tcPr>
            <w:tcW w:w="14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Rozdiel (3-2)</w:t>
            </w:r>
          </w:p>
        </w:tc>
      </w:tr>
      <w:tr w:rsidR="008A38D3" w:rsidRPr="008A38D3" w:rsidTr="00752E8B">
        <w:trPr>
          <w:trHeight w:val="255"/>
        </w:trPr>
        <w:tc>
          <w:tcPr>
            <w:tcW w:w="3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a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8A38D3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8A38D3" w:rsidRPr="008A38D3" w:rsidTr="00752E8B">
        <w:trPr>
          <w:trHeight w:val="255"/>
        </w:trPr>
        <w:tc>
          <w:tcPr>
            <w:tcW w:w="38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Použitie prostriedkov celkom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6 254 902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6 270 715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6 156 748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-113 967</w:t>
            </w:r>
          </w:p>
        </w:tc>
      </w:tr>
      <w:tr w:rsidR="008A38D3" w:rsidRPr="008A38D3" w:rsidTr="00752E8B">
        <w:trPr>
          <w:trHeight w:val="255"/>
        </w:trPr>
        <w:tc>
          <w:tcPr>
            <w:tcW w:w="38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v tom: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8A38D3" w:rsidRPr="008A38D3" w:rsidTr="00752E8B">
        <w:trPr>
          <w:trHeight w:val="255"/>
        </w:trPr>
        <w:tc>
          <w:tcPr>
            <w:tcW w:w="38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 xml:space="preserve"> základný fond nemocenského poistenia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332 219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348 521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391 523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43 002</w:t>
            </w:r>
          </w:p>
        </w:tc>
      </w:tr>
      <w:tr w:rsidR="008A38D3" w:rsidRPr="008A38D3" w:rsidTr="00752E8B">
        <w:trPr>
          <w:trHeight w:val="255"/>
        </w:trPr>
        <w:tc>
          <w:tcPr>
            <w:tcW w:w="38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starobného poistenia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4 659 053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4 659 053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4 556 532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-102 521</w:t>
            </w:r>
          </w:p>
        </w:tc>
      </w:tr>
      <w:tr w:rsidR="008A38D3" w:rsidRPr="008A38D3" w:rsidTr="00752E8B">
        <w:trPr>
          <w:trHeight w:val="255"/>
        </w:trPr>
        <w:tc>
          <w:tcPr>
            <w:tcW w:w="38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invalidného poistenia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833 612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833 612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844 970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11 358</w:t>
            </w:r>
          </w:p>
        </w:tc>
      </w:tr>
      <w:tr w:rsidR="008A38D3" w:rsidRPr="008A38D3" w:rsidTr="00752E8B">
        <w:trPr>
          <w:trHeight w:val="255"/>
        </w:trPr>
        <w:tc>
          <w:tcPr>
            <w:tcW w:w="38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úrazového poistenia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44 024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44 024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44 360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336</w:t>
            </w:r>
          </w:p>
        </w:tc>
      </w:tr>
      <w:tr w:rsidR="008A38D3" w:rsidRPr="008A38D3" w:rsidTr="00752E8B">
        <w:trPr>
          <w:trHeight w:val="255"/>
        </w:trPr>
        <w:tc>
          <w:tcPr>
            <w:tcW w:w="38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garančného poistenia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50 082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50 082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39 822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-10 260</w:t>
            </w:r>
          </w:p>
        </w:tc>
      </w:tr>
      <w:tr w:rsidR="008A38D3" w:rsidRPr="008A38D3" w:rsidTr="00752E8B">
        <w:trPr>
          <w:trHeight w:val="255"/>
        </w:trPr>
        <w:tc>
          <w:tcPr>
            <w:tcW w:w="38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základný fond poistenia v nezamestnanosti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200 442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199 953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163 968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-35 985</w:t>
            </w:r>
          </w:p>
        </w:tc>
      </w:tr>
      <w:tr w:rsidR="008A38D3" w:rsidRPr="008A38D3" w:rsidTr="00752E8B">
        <w:trPr>
          <w:trHeight w:val="255"/>
        </w:trPr>
        <w:tc>
          <w:tcPr>
            <w:tcW w:w="38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správny fond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135 470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135 470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115 573</w:t>
            </w:r>
          </w:p>
        </w:tc>
        <w:tc>
          <w:tcPr>
            <w:tcW w:w="14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-19 897</w:t>
            </w:r>
          </w:p>
        </w:tc>
      </w:tr>
    </w:tbl>
    <w:p w:rsidR="008A38D3" w:rsidRPr="008A38D3" w:rsidRDefault="008A38D3" w:rsidP="008A38D3">
      <w:pPr>
        <w:spacing w:before="240" w:after="120"/>
        <w:ind w:firstLine="709"/>
        <w:jc w:val="both"/>
        <w:rPr>
          <w:rFonts w:ascii="Arial" w:hAnsi="Arial" w:cs="Arial"/>
        </w:rPr>
      </w:pPr>
    </w:p>
    <w:p w:rsidR="008A38D3" w:rsidRPr="008A38D3" w:rsidRDefault="008A38D3" w:rsidP="008A38D3">
      <w:pPr>
        <w:spacing w:after="120"/>
        <w:ind w:firstLine="709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 xml:space="preserve">V roku 2011 sa očakávajú </w:t>
      </w:r>
      <w:r w:rsidRPr="008A38D3">
        <w:rPr>
          <w:rFonts w:ascii="Arial" w:hAnsi="Arial" w:cs="Arial"/>
          <w:b/>
        </w:rPr>
        <w:t>celkovo</w:t>
      </w:r>
      <w:r w:rsidRPr="008A38D3">
        <w:rPr>
          <w:rFonts w:ascii="Arial" w:hAnsi="Arial" w:cs="Arial"/>
        </w:rPr>
        <w:t xml:space="preserve"> </w:t>
      </w:r>
      <w:r w:rsidRPr="008A38D3">
        <w:rPr>
          <w:rFonts w:ascii="Arial" w:hAnsi="Arial" w:cs="Arial"/>
          <w:b/>
        </w:rPr>
        <w:t>nižšie</w:t>
      </w:r>
      <w:r w:rsidRPr="008A38D3">
        <w:rPr>
          <w:rFonts w:ascii="Arial" w:hAnsi="Arial" w:cs="Arial"/>
        </w:rPr>
        <w:t xml:space="preserve"> výdavky (náklady) Sociálnej poisťovne o </w:t>
      </w:r>
      <w:r w:rsidRPr="008A38D3">
        <w:rPr>
          <w:rFonts w:ascii="Arial" w:hAnsi="Arial" w:cs="Arial"/>
          <w:b/>
        </w:rPr>
        <w:t>113 967 tis. Eur</w:t>
      </w:r>
      <w:r w:rsidRPr="008A38D3">
        <w:rPr>
          <w:rFonts w:ascii="Arial" w:hAnsi="Arial" w:cs="Arial"/>
        </w:rPr>
        <w:t>, oproti upravenému rozpočtu,  v tom:</w:t>
      </w:r>
    </w:p>
    <w:p w:rsidR="008A38D3" w:rsidRPr="008A38D3" w:rsidRDefault="008A38D3" w:rsidP="008A38D3">
      <w:pPr>
        <w:numPr>
          <w:ilvl w:val="0"/>
          <w:numId w:val="15"/>
        </w:numPr>
        <w:spacing w:after="120"/>
        <w:ind w:left="714" w:hanging="714"/>
        <w:jc w:val="both"/>
        <w:rPr>
          <w:rFonts w:ascii="Arial" w:hAnsi="Arial" w:cs="Arial"/>
        </w:rPr>
      </w:pPr>
      <w:r w:rsidRPr="008A38D3">
        <w:rPr>
          <w:rFonts w:ascii="Arial" w:hAnsi="Arial" w:cs="Arial"/>
          <w:b/>
        </w:rPr>
        <w:t>v základnom fonde nemocenského poistenia vyššie o 43 002 tis. Eur</w:t>
      </w:r>
      <w:r w:rsidRPr="008A38D3">
        <w:rPr>
          <w:rFonts w:ascii="Arial" w:hAnsi="Arial" w:cs="Arial"/>
        </w:rPr>
        <w:t>. Pri prepočte bol zohľadnený očakávaný vývoj ukazovateľov ovplyvňujúcich výšku výdavkov na nemocenské dávky:</w:t>
      </w:r>
    </w:p>
    <w:tbl>
      <w:tblPr>
        <w:tblW w:w="7148" w:type="dxa"/>
        <w:tblInd w:w="77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68"/>
        <w:gridCol w:w="2440"/>
        <w:gridCol w:w="2440"/>
      </w:tblGrid>
      <w:tr w:rsidR="008A38D3" w:rsidRPr="008A38D3" w:rsidTr="00752E8B">
        <w:trPr>
          <w:trHeight w:val="555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Dávka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Priemerná mesačná výška dávky v Eur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Priemerný mesačný počet poberateľov dávky</w:t>
            </w:r>
          </w:p>
        </w:tc>
      </w:tr>
      <w:tr w:rsidR="008A38D3" w:rsidRPr="008A38D3" w:rsidTr="00752E8B">
        <w:trPr>
          <w:trHeight w:val="232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Nemocenské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207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111 450</w:t>
            </w:r>
          </w:p>
        </w:tc>
      </w:tr>
      <w:tr w:rsidR="008A38D3" w:rsidRPr="008A38D3" w:rsidTr="00752E8B">
        <w:trPr>
          <w:trHeight w:val="124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 xml:space="preserve">Ošetrovné 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74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12 400</w:t>
            </w:r>
          </w:p>
        </w:tc>
      </w:tr>
      <w:tr w:rsidR="008A38D3" w:rsidRPr="008A38D3" w:rsidTr="00752E8B">
        <w:trPr>
          <w:trHeight w:val="171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Vyrovnávacia dávka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51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98</w:t>
            </w:r>
          </w:p>
        </w:tc>
      </w:tr>
      <w:tr w:rsidR="008A38D3" w:rsidRPr="008A38D3" w:rsidTr="00752E8B">
        <w:trPr>
          <w:trHeight w:val="206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Materské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379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8A38D3">
              <w:rPr>
                <w:rFonts w:ascii="Arial" w:hAnsi="Arial" w:cs="Arial"/>
                <w:sz w:val="22"/>
                <w:szCs w:val="22"/>
              </w:rPr>
              <w:t>22 800</w:t>
            </w:r>
          </w:p>
        </w:tc>
      </w:tr>
    </w:tbl>
    <w:p w:rsidR="008A38D3" w:rsidRPr="008A38D3" w:rsidRDefault="008A38D3" w:rsidP="008A38D3">
      <w:pPr>
        <w:jc w:val="both"/>
        <w:rPr>
          <w:rFonts w:ascii="Arial" w:hAnsi="Arial" w:cs="Arial"/>
        </w:rPr>
      </w:pPr>
    </w:p>
    <w:p w:rsidR="008A38D3" w:rsidRPr="008A38D3" w:rsidRDefault="008A38D3" w:rsidP="008A38D3">
      <w:pPr>
        <w:numPr>
          <w:ilvl w:val="0"/>
          <w:numId w:val="15"/>
        </w:numPr>
        <w:ind w:hanging="720"/>
        <w:jc w:val="both"/>
        <w:rPr>
          <w:rFonts w:ascii="Arial" w:hAnsi="Arial" w:cs="Arial"/>
        </w:rPr>
      </w:pPr>
      <w:r w:rsidRPr="008A38D3">
        <w:rPr>
          <w:rFonts w:ascii="Arial" w:hAnsi="Arial" w:cs="Arial"/>
          <w:b/>
        </w:rPr>
        <w:t>v  základnom fonde starobného poistenia nižšie o 102 521 tis. Eur</w:t>
      </w:r>
      <w:r w:rsidRPr="008A38D3">
        <w:rPr>
          <w:rFonts w:ascii="Arial" w:hAnsi="Arial" w:cs="Arial"/>
        </w:rPr>
        <w:t xml:space="preserve">, </w:t>
      </w:r>
      <w:r w:rsidRPr="008A38D3">
        <w:rPr>
          <w:rFonts w:ascii="Arial" w:hAnsi="Arial" w:cs="Arial"/>
          <w:szCs w:val="20"/>
        </w:rPr>
        <w:t>najmä z dôvodu nižšieho počtu priznaných predčasných starobných dôchodkov  na základe zmeny podmienok nároku na výplatu predčasného starobného dôchodku (zárobok alebo dôchodok),</w:t>
      </w:r>
    </w:p>
    <w:p w:rsidR="008A38D3" w:rsidRPr="008A38D3" w:rsidRDefault="008A38D3" w:rsidP="008A38D3">
      <w:pPr>
        <w:numPr>
          <w:ilvl w:val="0"/>
          <w:numId w:val="15"/>
        </w:numPr>
        <w:ind w:hanging="720"/>
        <w:jc w:val="both"/>
        <w:rPr>
          <w:rFonts w:ascii="Arial" w:hAnsi="Arial" w:cs="Arial"/>
        </w:rPr>
      </w:pPr>
      <w:r w:rsidRPr="008A38D3">
        <w:rPr>
          <w:rFonts w:ascii="Arial" w:hAnsi="Arial" w:cs="Arial"/>
          <w:b/>
        </w:rPr>
        <w:t>v základnom fonde invalidného poistenia vyššie o 11 358 tis. Eur</w:t>
      </w:r>
      <w:r w:rsidRPr="008A38D3">
        <w:rPr>
          <w:rFonts w:ascii="Arial" w:hAnsi="Arial" w:cs="Arial"/>
        </w:rPr>
        <w:t>,</w:t>
      </w:r>
    </w:p>
    <w:p w:rsidR="008A38D3" w:rsidRPr="008A38D3" w:rsidRDefault="008A38D3" w:rsidP="008A38D3">
      <w:pPr>
        <w:numPr>
          <w:ilvl w:val="0"/>
          <w:numId w:val="15"/>
        </w:numPr>
        <w:ind w:hanging="720"/>
        <w:jc w:val="both"/>
        <w:rPr>
          <w:rFonts w:ascii="Arial" w:hAnsi="Arial" w:cs="Arial"/>
        </w:rPr>
      </w:pPr>
      <w:r w:rsidRPr="008A38D3">
        <w:rPr>
          <w:rFonts w:ascii="Arial" w:hAnsi="Arial" w:cs="Arial"/>
          <w:b/>
        </w:rPr>
        <w:t>v základnom fonde úrazového poistenia vyššie o 336 tis. Eur</w:t>
      </w:r>
      <w:r w:rsidRPr="008A38D3">
        <w:rPr>
          <w:rFonts w:ascii="Arial" w:hAnsi="Arial" w:cs="Arial"/>
        </w:rPr>
        <w:t xml:space="preserve">, </w:t>
      </w:r>
    </w:p>
    <w:p w:rsidR="008A38D3" w:rsidRPr="008A38D3" w:rsidRDefault="008A38D3" w:rsidP="008A38D3">
      <w:pPr>
        <w:numPr>
          <w:ilvl w:val="0"/>
          <w:numId w:val="15"/>
        </w:numPr>
        <w:ind w:hanging="720"/>
        <w:jc w:val="both"/>
        <w:rPr>
          <w:rFonts w:ascii="Arial" w:hAnsi="Arial" w:cs="Arial"/>
        </w:rPr>
      </w:pPr>
      <w:r w:rsidRPr="008A38D3">
        <w:rPr>
          <w:rFonts w:ascii="Arial" w:hAnsi="Arial" w:cs="Arial"/>
          <w:b/>
        </w:rPr>
        <w:t>v základnom fonde garančného poistenia nižšie o 10 260 tis. Eur</w:t>
      </w:r>
      <w:r w:rsidRPr="008A38D3">
        <w:rPr>
          <w:rFonts w:ascii="Arial" w:hAnsi="Arial" w:cs="Arial"/>
        </w:rPr>
        <w:t>, z dôvodu nižšej úhrady príspevkov na SDS (nezaplatených zamestnávateľom) zo základného fondu garančného poistenia a nižších výdavkov na dávku garančného poistenia,</w:t>
      </w:r>
    </w:p>
    <w:p w:rsidR="008A38D3" w:rsidRPr="008A38D3" w:rsidRDefault="008A38D3" w:rsidP="008A38D3">
      <w:pPr>
        <w:numPr>
          <w:ilvl w:val="0"/>
          <w:numId w:val="15"/>
        </w:numPr>
        <w:ind w:hanging="720"/>
        <w:jc w:val="both"/>
        <w:rPr>
          <w:rFonts w:ascii="Arial" w:hAnsi="Arial" w:cs="Arial"/>
        </w:rPr>
      </w:pPr>
      <w:r w:rsidRPr="008A38D3">
        <w:rPr>
          <w:rFonts w:ascii="Arial" w:hAnsi="Arial" w:cs="Arial"/>
          <w:b/>
        </w:rPr>
        <w:t>v základnom fonde poistenia v nezamestnanosti nižšie o 35 985 tis. Eur</w:t>
      </w:r>
      <w:r w:rsidRPr="008A38D3">
        <w:rPr>
          <w:rFonts w:ascii="Arial" w:hAnsi="Arial" w:cs="Arial"/>
        </w:rPr>
        <w:t>. Suma výdavkov v roku 2011 bola vykvantifikovaná na základe očakávaného vývoja priemernej mesačnej výšky dávky do konca roka (312 Eur) a priemerného mesačného počtu poberateľov (43 500).</w:t>
      </w:r>
    </w:p>
    <w:p w:rsidR="008A38D3" w:rsidRPr="008A38D3" w:rsidRDefault="008A38D3" w:rsidP="008A38D3">
      <w:pPr>
        <w:numPr>
          <w:ilvl w:val="0"/>
          <w:numId w:val="15"/>
        </w:numPr>
        <w:spacing w:after="120"/>
        <w:ind w:hanging="720"/>
        <w:jc w:val="both"/>
        <w:rPr>
          <w:rFonts w:ascii="Arial" w:hAnsi="Arial" w:cs="Arial"/>
        </w:rPr>
      </w:pPr>
      <w:r w:rsidRPr="008A38D3">
        <w:rPr>
          <w:rFonts w:ascii="Arial" w:hAnsi="Arial" w:cs="Arial"/>
          <w:b/>
        </w:rPr>
        <w:t>v správnom fonde nižšie o 19 897 tis. Eur</w:t>
      </w:r>
      <w:r w:rsidRPr="008A38D3">
        <w:rPr>
          <w:rFonts w:ascii="Arial" w:hAnsi="Arial" w:cs="Arial"/>
        </w:rPr>
        <w:t>, z dôvodu zefektívnenia činností a procesov vo všetkých oblastiach výkonu Sociálnej poisťovne.</w:t>
      </w:r>
    </w:p>
    <w:p w:rsidR="008A38D3" w:rsidRPr="008A38D3" w:rsidRDefault="008A38D3" w:rsidP="008A38D3">
      <w:pPr>
        <w:spacing w:before="240" w:after="120"/>
        <w:ind w:firstLine="720"/>
        <w:jc w:val="both"/>
        <w:rPr>
          <w:rFonts w:ascii="Arial" w:hAnsi="Arial" w:cs="Arial"/>
        </w:rPr>
      </w:pPr>
      <w:r w:rsidRPr="008A38D3">
        <w:rPr>
          <w:rFonts w:ascii="Arial" w:hAnsi="Arial" w:cs="Arial"/>
        </w:rPr>
        <w:t xml:space="preserve">Z hľadiska </w:t>
      </w:r>
      <w:r w:rsidRPr="008A38D3">
        <w:rPr>
          <w:rFonts w:ascii="Arial" w:hAnsi="Arial" w:cs="Arial"/>
          <w:b/>
        </w:rPr>
        <w:t>celkového hospodárenia Sociálnej poisťovne</w:t>
      </w:r>
      <w:r w:rsidRPr="008A38D3">
        <w:rPr>
          <w:rFonts w:ascii="Arial" w:hAnsi="Arial" w:cs="Arial"/>
        </w:rPr>
        <w:t xml:space="preserve"> je možné očakávať k 31. 12. 2011 v jednotlivých fondoch takéto výsledky:</w:t>
      </w:r>
    </w:p>
    <w:tbl>
      <w:tblPr>
        <w:tblW w:w="9229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00"/>
        <w:gridCol w:w="1340"/>
        <w:gridCol w:w="1496"/>
        <w:gridCol w:w="64"/>
        <w:gridCol w:w="1400"/>
        <w:gridCol w:w="1229"/>
      </w:tblGrid>
      <w:tr w:rsidR="008A38D3" w:rsidRPr="008A38D3" w:rsidTr="00752E8B">
        <w:trPr>
          <w:trHeight w:val="255"/>
        </w:trPr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sz w:val="20"/>
                <w:szCs w:val="20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sz w:val="20"/>
                <w:szCs w:val="20"/>
              </w:rPr>
            </w:pPr>
          </w:p>
        </w:tc>
        <w:tc>
          <w:tcPr>
            <w:tcW w:w="12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8A38D3">
              <w:rPr>
                <w:rFonts w:ascii="Arial" w:hAnsi="Arial" w:cs="Arial"/>
                <w:sz w:val="20"/>
                <w:szCs w:val="20"/>
              </w:rPr>
              <w:t>v tis. Eur</w:t>
            </w:r>
          </w:p>
        </w:tc>
      </w:tr>
      <w:tr w:rsidR="008A38D3" w:rsidRPr="008A38D3" w:rsidTr="00752E8B">
        <w:trPr>
          <w:trHeight w:val="255"/>
        </w:trPr>
        <w:tc>
          <w:tcPr>
            <w:tcW w:w="37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Fond  </w:t>
            </w:r>
          </w:p>
        </w:tc>
        <w:tc>
          <w:tcPr>
            <w:tcW w:w="43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Bilančný rozdiel k 31.12.2011</w:t>
            </w:r>
          </w:p>
        </w:tc>
        <w:tc>
          <w:tcPr>
            <w:tcW w:w="12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Rozdiel (3-2)</w:t>
            </w:r>
          </w:p>
        </w:tc>
      </w:tr>
      <w:tr w:rsidR="008A38D3" w:rsidRPr="008A38D3" w:rsidTr="00752E8B">
        <w:trPr>
          <w:trHeight w:val="480"/>
        </w:trPr>
        <w:tc>
          <w:tcPr>
            <w:tcW w:w="37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Schválený rozpočet 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Upravený rozpočet </w:t>
            </w:r>
          </w:p>
        </w:tc>
        <w:tc>
          <w:tcPr>
            <w:tcW w:w="14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 xml:space="preserve">Očakávaná skutočnosť </w:t>
            </w:r>
          </w:p>
        </w:tc>
        <w:tc>
          <w:tcPr>
            <w:tcW w:w="12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A38D3" w:rsidRPr="008A38D3" w:rsidTr="00752E8B">
        <w:trPr>
          <w:trHeight w:val="255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4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</w:t>
            </w:r>
          </w:p>
        </w:tc>
      </w:tr>
      <w:tr w:rsidR="008A38D3" w:rsidRPr="008A38D3" w:rsidTr="00752E8B">
        <w:trPr>
          <w:trHeight w:val="255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Základný fond nemocenského poistenia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30 000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30 000</w:t>
            </w:r>
          </w:p>
        </w:tc>
        <w:tc>
          <w:tcPr>
            <w:tcW w:w="14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97 320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67 320</w:t>
            </w:r>
          </w:p>
        </w:tc>
      </w:tr>
      <w:tr w:rsidR="008A38D3" w:rsidRPr="008A38D3" w:rsidTr="00752E8B">
        <w:trPr>
          <w:trHeight w:val="255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Základný fond starobného poistenia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253 731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233 420</w:t>
            </w:r>
          </w:p>
        </w:tc>
        <w:tc>
          <w:tcPr>
            <w:tcW w:w="14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246 588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13 168</w:t>
            </w:r>
          </w:p>
        </w:tc>
      </w:tr>
      <w:tr w:rsidR="008A38D3" w:rsidRPr="008A38D3" w:rsidTr="00752E8B">
        <w:trPr>
          <w:trHeight w:val="255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Základný fond invalidného poistenia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156 978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156 415</w:t>
            </w:r>
          </w:p>
        </w:tc>
        <w:tc>
          <w:tcPr>
            <w:tcW w:w="14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113 062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-43 353</w:t>
            </w:r>
          </w:p>
        </w:tc>
      </w:tr>
      <w:tr w:rsidR="008A38D3" w:rsidRPr="008A38D3" w:rsidTr="00752E8B">
        <w:trPr>
          <w:trHeight w:val="255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Základný fond úrazového poistenia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4 000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4 000</w:t>
            </w:r>
          </w:p>
        </w:tc>
        <w:tc>
          <w:tcPr>
            <w:tcW w:w="14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4 000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8A38D3" w:rsidRPr="008A38D3" w:rsidTr="00752E8B">
        <w:trPr>
          <w:trHeight w:val="255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Základný fond garančného poistenia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12 338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12 366</w:t>
            </w:r>
          </w:p>
        </w:tc>
        <w:tc>
          <w:tcPr>
            <w:tcW w:w="14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5 000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-7 366</w:t>
            </w:r>
          </w:p>
        </w:tc>
      </w:tr>
      <w:tr w:rsidR="008A38D3" w:rsidRPr="008A38D3" w:rsidTr="00752E8B">
        <w:trPr>
          <w:trHeight w:val="255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Základný fond poistenia v nezamestnanosti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17 000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17 000</w:t>
            </w:r>
          </w:p>
        </w:tc>
        <w:tc>
          <w:tcPr>
            <w:tcW w:w="14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15 000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-2 000</w:t>
            </w:r>
          </w:p>
        </w:tc>
      </w:tr>
      <w:tr w:rsidR="008A38D3" w:rsidRPr="008A38D3" w:rsidTr="00752E8B">
        <w:trPr>
          <w:trHeight w:val="255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Rezervný fond solidarity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4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8A38D3" w:rsidRPr="008A38D3" w:rsidTr="00752E8B">
        <w:trPr>
          <w:trHeight w:val="255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Správny fond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6 573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1 628</w:t>
            </w:r>
          </w:p>
        </w:tc>
        <w:tc>
          <w:tcPr>
            <w:tcW w:w="14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45 590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43 962</w:t>
            </w:r>
          </w:p>
        </w:tc>
      </w:tr>
      <w:tr w:rsidR="008A38D3" w:rsidRPr="008A38D3" w:rsidTr="00752E8B">
        <w:trPr>
          <w:trHeight w:val="255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Spolu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480 620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454 829</w:t>
            </w:r>
          </w:p>
        </w:tc>
        <w:tc>
          <w:tcPr>
            <w:tcW w:w="14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526 560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38D3" w:rsidRPr="008A38D3" w:rsidRDefault="008A38D3" w:rsidP="008A38D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A38D3">
              <w:rPr>
                <w:rFonts w:ascii="Arial" w:hAnsi="Arial" w:cs="Arial"/>
                <w:sz w:val="18"/>
                <w:szCs w:val="18"/>
              </w:rPr>
              <w:t>71 731</w:t>
            </w:r>
          </w:p>
        </w:tc>
      </w:tr>
    </w:tbl>
    <w:p w:rsidR="008A38D3" w:rsidRPr="008A38D3" w:rsidRDefault="008A38D3" w:rsidP="008A38D3">
      <w:pPr>
        <w:spacing w:before="240" w:after="120"/>
        <w:ind w:firstLine="720"/>
        <w:jc w:val="both"/>
        <w:rPr>
          <w:rFonts w:ascii="Arial" w:hAnsi="Arial" w:cs="Arial"/>
        </w:rPr>
      </w:pPr>
      <w:r w:rsidRPr="008A38D3">
        <w:rPr>
          <w:rFonts w:ascii="Arial" w:hAnsi="Arial" w:cs="Arial"/>
          <w:b/>
          <w:szCs w:val="20"/>
        </w:rPr>
        <w:t>Hospodárenie Sociálnej poisťovne v roku 2011 by malo skončiť lepším výsledkom o 71 731 tis. Eur</w:t>
      </w:r>
      <w:r w:rsidRPr="008A38D3">
        <w:rPr>
          <w:rFonts w:ascii="Arial" w:hAnsi="Arial" w:cs="Arial"/>
          <w:szCs w:val="20"/>
        </w:rPr>
        <w:t>, ako sa predpokladalo v upravenom rozpočte.</w:t>
      </w:r>
    </w:p>
    <w:p w:rsidR="008A38D3" w:rsidRPr="008A38D3" w:rsidRDefault="008A38D3" w:rsidP="008A38D3">
      <w:pPr>
        <w:spacing w:after="120"/>
        <w:jc w:val="center"/>
        <w:rPr>
          <w:rFonts w:ascii="Arial" w:hAnsi="Arial" w:cs="Arial"/>
        </w:rPr>
      </w:pPr>
      <w:r w:rsidRPr="008A38D3">
        <w:rPr>
          <w:rFonts w:ascii="Arial" w:hAnsi="Arial" w:cs="Arial"/>
        </w:rPr>
        <w:t xml:space="preserve">x  </w:t>
      </w:r>
      <w:proofErr w:type="spellStart"/>
      <w:r w:rsidRPr="008A38D3">
        <w:rPr>
          <w:rFonts w:ascii="Arial" w:hAnsi="Arial" w:cs="Arial"/>
        </w:rPr>
        <w:t>x</w:t>
      </w:r>
      <w:proofErr w:type="spellEnd"/>
      <w:r w:rsidRPr="008A38D3">
        <w:rPr>
          <w:rFonts w:ascii="Arial" w:hAnsi="Arial" w:cs="Arial"/>
        </w:rPr>
        <w:t xml:space="preserve">  </w:t>
      </w:r>
      <w:proofErr w:type="spellStart"/>
      <w:r w:rsidRPr="008A38D3">
        <w:rPr>
          <w:rFonts w:ascii="Arial" w:hAnsi="Arial" w:cs="Arial"/>
        </w:rPr>
        <w:t>x</w:t>
      </w:r>
      <w:proofErr w:type="spellEnd"/>
    </w:p>
    <w:p w:rsidR="008A38D3" w:rsidRPr="008A38D3" w:rsidRDefault="008A38D3" w:rsidP="008A38D3">
      <w:pPr>
        <w:ind w:firstLine="720"/>
        <w:jc w:val="both"/>
        <w:rPr>
          <w:rFonts w:ascii="Arial" w:hAnsi="Arial" w:cs="Arial"/>
          <w:szCs w:val="20"/>
        </w:rPr>
      </w:pPr>
      <w:r w:rsidRPr="008A38D3">
        <w:rPr>
          <w:rFonts w:ascii="Arial" w:hAnsi="Arial" w:cs="Arial"/>
          <w:szCs w:val="20"/>
        </w:rPr>
        <w:t>Sociálna poisťovňa predpokladá, že v roku 2011 postúpi príspevky na SDS do DSS v sume 848 336 tis. Eur (vrátane penále).</w:t>
      </w:r>
    </w:p>
    <w:p w:rsidR="008A38D3" w:rsidRPr="008A38D3" w:rsidRDefault="008A38D3" w:rsidP="008A38D3">
      <w:pPr>
        <w:spacing w:after="120"/>
        <w:rPr>
          <w:rFonts w:ascii="Arial" w:hAnsi="Arial" w:cs="Arial"/>
          <w:szCs w:val="20"/>
        </w:rPr>
      </w:pPr>
    </w:p>
    <w:p w:rsidR="00A70CDF" w:rsidRPr="00A70CDF" w:rsidRDefault="00A70CDF" w:rsidP="0008569A">
      <w:pPr>
        <w:spacing w:after="120"/>
        <w:rPr>
          <w:rFonts w:ascii="Arial" w:hAnsi="Arial" w:cs="Arial"/>
          <w:szCs w:val="20"/>
        </w:rPr>
      </w:pPr>
    </w:p>
    <w:sectPr w:rsidR="00A70CDF" w:rsidRPr="00A70CDF" w:rsidSect="00F732AA">
      <w:headerReference w:type="default" r:id="rId15"/>
      <w:footerReference w:type="default" r:id="rId16"/>
      <w:pgSz w:w="11906" w:h="16838"/>
      <w:pgMar w:top="1417" w:right="1466" w:bottom="1417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2D5C" w:rsidRDefault="00B72D5C">
      <w:r>
        <w:separator/>
      </w:r>
    </w:p>
  </w:endnote>
  <w:endnote w:type="continuationSeparator" w:id="0">
    <w:p w:rsidR="00B72D5C" w:rsidRDefault="00B72D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 CE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5F4A" w:rsidRPr="00657CB2" w:rsidRDefault="00E85F4A" w:rsidP="00657CB2">
    <w:pPr>
      <w:pStyle w:val="Pta"/>
      <w:jc w:val="center"/>
      <w:rPr>
        <w:rFonts w:ascii="Arial" w:hAnsi="Arial" w:cs="Arial"/>
        <w:sz w:val="24"/>
        <w:szCs w:val="24"/>
      </w:rPr>
    </w:pPr>
    <w:r w:rsidRPr="00657CB2">
      <w:rPr>
        <w:rFonts w:ascii="Arial" w:hAnsi="Arial" w:cs="Arial"/>
        <w:sz w:val="24"/>
        <w:szCs w:val="24"/>
      </w:rPr>
      <w:t>BRATISLAVA</w:t>
    </w:r>
    <w:r w:rsidRPr="00657CB2">
      <w:rPr>
        <w:rFonts w:ascii="Arial" w:hAnsi="Arial" w:cs="Arial"/>
        <w:sz w:val="24"/>
        <w:szCs w:val="24"/>
      </w:rPr>
      <w:br/>
    </w:r>
    <w:r w:rsidR="00756CD5">
      <w:rPr>
        <w:rFonts w:ascii="Arial" w:hAnsi="Arial" w:cs="Arial"/>
        <w:sz w:val="24"/>
        <w:szCs w:val="24"/>
      </w:rPr>
      <w:t>dec</w:t>
    </w:r>
    <w:r w:rsidR="008A38D3">
      <w:rPr>
        <w:rFonts w:ascii="Arial" w:hAnsi="Arial" w:cs="Arial"/>
        <w:sz w:val="24"/>
        <w:szCs w:val="24"/>
      </w:rPr>
      <w:t>ember</w:t>
    </w:r>
    <w:r w:rsidRPr="00657CB2">
      <w:rPr>
        <w:rFonts w:ascii="Arial" w:hAnsi="Arial" w:cs="Arial"/>
        <w:sz w:val="24"/>
        <w:szCs w:val="24"/>
      </w:rPr>
      <w:t xml:space="preserve"> 20</w:t>
    </w:r>
    <w:r>
      <w:rPr>
        <w:rFonts w:ascii="Arial" w:hAnsi="Arial" w:cs="Arial"/>
        <w:sz w:val="24"/>
        <w:szCs w:val="24"/>
      </w:rPr>
      <w:t>11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5F4A" w:rsidRPr="00657CB2" w:rsidRDefault="00E85F4A" w:rsidP="00657CB2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2D5C" w:rsidRDefault="00B72D5C">
      <w:r>
        <w:separator/>
      </w:r>
    </w:p>
  </w:footnote>
  <w:footnote w:type="continuationSeparator" w:id="0">
    <w:p w:rsidR="00B72D5C" w:rsidRDefault="00B72D5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5F4A" w:rsidRDefault="00756CD5">
    <w:pPr>
      <w:pStyle w:val="Hlavika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135pt;margin-top:1.3pt;width:190.2pt;height:69.85pt;z-index:251659776">
          <v:imagedata r:id="rId1" o:title=""/>
          <w10:wrap type="topAndBottom"/>
        </v:shape>
        <o:OLEObject Type="Embed" ProgID="CorelDraw.Graphic.8" ShapeID="_x0000_s2050" DrawAspect="Content" ObjectID="_1383991840" r:id="rId2"/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5F4A" w:rsidRDefault="00E85F4A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2638EE"/>
    <w:multiLevelType w:val="hybridMultilevel"/>
    <w:tmpl w:val="60565CB2"/>
    <w:lvl w:ilvl="0" w:tplc="041B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CE360EC"/>
    <w:multiLevelType w:val="hybridMultilevel"/>
    <w:tmpl w:val="1830572A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5055D2F"/>
    <w:multiLevelType w:val="hybridMultilevel"/>
    <w:tmpl w:val="2092CCE6"/>
    <w:lvl w:ilvl="0" w:tplc="041B000B">
      <w:start w:val="1"/>
      <w:numFmt w:val="bullet"/>
      <w:lvlText w:val=""/>
      <w:lvlJc w:val="left"/>
      <w:pPr>
        <w:tabs>
          <w:tab w:val="num" w:pos="1500"/>
        </w:tabs>
        <w:ind w:left="150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2220"/>
        </w:tabs>
        <w:ind w:left="222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3">
    <w:nsid w:val="29C93B14"/>
    <w:multiLevelType w:val="multilevel"/>
    <w:tmpl w:val="5EBCDFCE"/>
    <w:lvl w:ilvl="0">
      <w:start w:val="3"/>
      <w:numFmt w:val="decimal"/>
      <w:lvlText w:val="%1.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6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">
    <w:nsid w:val="2BF33C7D"/>
    <w:multiLevelType w:val="hybridMultilevel"/>
    <w:tmpl w:val="9FA64606"/>
    <w:lvl w:ilvl="0" w:tplc="041B000B">
      <w:start w:val="1"/>
      <w:numFmt w:val="bullet"/>
      <w:lvlText w:val="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5">
    <w:nsid w:val="2CEE7005"/>
    <w:multiLevelType w:val="hybridMultilevel"/>
    <w:tmpl w:val="7A28AF2E"/>
    <w:lvl w:ilvl="0" w:tplc="A314C5F6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E15C1EA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32E0495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575829F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A214619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61A87D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73AB1B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D72E84BC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BEA2E3E2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6">
    <w:nsid w:val="330F0A26"/>
    <w:multiLevelType w:val="hybridMultilevel"/>
    <w:tmpl w:val="1DC4385C"/>
    <w:lvl w:ilvl="0" w:tplc="041B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02D3738"/>
    <w:multiLevelType w:val="hybridMultilevel"/>
    <w:tmpl w:val="5FA6C656"/>
    <w:lvl w:ilvl="0" w:tplc="041B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46B26F94"/>
    <w:multiLevelType w:val="multilevel"/>
    <w:tmpl w:val="B61E30E4"/>
    <w:lvl w:ilvl="0">
      <w:start w:val="3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  <w:b/>
      </w:rPr>
    </w:lvl>
    <w:lvl w:ilvl="1">
      <w:start w:val="4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9">
    <w:nsid w:val="497B48C8"/>
    <w:multiLevelType w:val="hybridMultilevel"/>
    <w:tmpl w:val="6948548A"/>
    <w:lvl w:ilvl="0" w:tplc="1D607262">
      <w:start w:val="3"/>
      <w:numFmt w:val="decimal"/>
      <w:lvlText w:val="%1."/>
      <w:lvlJc w:val="left"/>
      <w:pPr>
        <w:tabs>
          <w:tab w:val="num" w:pos="5220"/>
        </w:tabs>
        <w:ind w:left="5220" w:hanging="360"/>
      </w:pPr>
      <w:rPr>
        <w:rFonts w:hint="default"/>
      </w:rPr>
    </w:lvl>
    <w:lvl w:ilvl="1" w:tplc="81367216" w:tentative="1">
      <w:start w:val="1"/>
      <w:numFmt w:val="lowerLetter"/>
      <w:lvlText w:val="%2."/>
      <w:lvlJc w:val="left"/>
      <w:pPr>
        <w:tabs>
          <w:tab w:val="num" w:pos="5940"/>
        </w:tabs>
        <w:ind w:left="5940" w:hanging="360"/>
      </w:pPr>
    </w:lvl>
    <w:lvl w:ilvl="2" w:tplc="2F3A0E26" w:tentative="1">
      <w:start w:val="1"/>
      <w:numFmt w:val="lowerRoman"/>
      <w:lvlText w:val="%3."/>
      <w:lvlJc w:val="right"/>
      <w:pPr>
        <w:tabs>
          <w:tab w:val="num" w:pos="6660"/>
        </w:tabs>
        <w:ind w:left="6660" w:hanging="180"/>
      </w:pPr>
    </w:lvl>
    <w:lvl w:ilvl="3" w:tplc="45B0CDA0" w:tentative="1">
      <w:start w:val="1"/>
      <w:numFmt w:val="decimal"/>
      <w:lvlText w:val="%4."/>
      <w:lvlJc w:val="left"/>
      <w:pPr>
        <w:tabs>
          <w:tab w:val="num" w:pos="7380"/>
        </w:tabs>
        <w:ind w:left="7380" w:hanging="360"/>
      </w:pPr>
    </w:lvl>
    <w:lvl w:ilvl="4" w:tplc="0CF2ED50" w:tentative="1">
      <w:start w:val="1"/>
      <w:numFmt w:val="lowerLetter"/>
      <w:lvlText w:val="%5."/>
      <w:lvlJc w:val="left"/>
      <w:pPr>
        <w:tabs>
          <w:tab w:val="num" w:pos="8100"/>
        </w:tabs>
        <w:ind w:left="8100" w:hanging="360"/>
      </w:pPr>
    </w:lvl>
    <w:lvl w:ilvl="5" w:tplc="AADE84D0" w:tentative="1">
      <w:start w:val="1"/>
      <w:numFmt w:val="lowerRoman"/>
      <w:lvlText w:val="%6."/>
      <w:lvlJc w:val="right"/>
      <w:pPr>
        <w:tabs>
          <w:tab w:val="num" w:pos="8820"/>
        </w:tabs>
        <w:ind w:left="8820" w:hanging="180"/>
      </w:pPr>
    </w:lvl>
    <w:lvl w:ilvl="6" w:tplc="A098849C" w:tentative="1">
      <w:start w:val="1"/>
      <w:numFmt w:val="decimal"/>
      <w:lvlText w:val="%7."/>
      <w:lvlJc w:val="left"/>
      <w:pPr>
        <w:tabs>
          <w:tab w:val="num" w:pos="9540"/>
        </w:tabs>
        <w:ind w:left="9540" w:hanging="360"/>
      </w:pPr>
    </w:lvl>
    <w:lvl w:ilvl="7" w:tplc="CF4AEE40" w:tentative="1">
      <w:start w:val="1"/>
      <w:numFmt w:val="lowerLetter"/>
      <w:lvlText w:val="%8."/>
      <w:lvlJc w:val="left"/>
      <w:pPr>
        <w:tabs>
          <w:tab w:val="num" w:pos="10260"/>
        </w:tabs>
        <w:ind w:left="10260" w:hanging="360"/>
      </w:pPr>
    </w:lvl>
    <w:lvl w:ilvl="8" w:tplc="B89A5DAE" w:tentative="1">
      <w:start w:val="1"/>
      <w:numFmt w:val="lowerRoman"/>
      <w:lvlText w:val="%9."/>
      <w:lvlJc w:val="right"/>
      <w:pPr>
        <w:tabs>
          <w:tab w:val="num" w:pos="10980"/>
        </w:tabs>
        <w:ind w:left="10980" w:hanging="180"/>
      </w:pPr>
    </w:lvl>
  </w:abstractNum>
  <w:abstractNum w:abstractNumId="10">
    <w:nsid w:val="4CF62C2B"/>
    <w:multiLevelType w:val="hybridMultilevel"/>
    <w:tmpl w:val="51F0C8F2"/>
    <w:lvl w:ilvl="0" w:tplc="041B000B">
      <w:start w:val="1"/>
      <w:numFmt w:val="bullet"/>
      <w:lvlText w:val=""/>
      <w:lvlJc w:val="left"/>
      <w:pPr>
        <w:tabs>
          <w:tab w:val="num" w:pos="1500"/>
        </w:tabs>
        <w:ind w:left="150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2220"/>
        </w:tabs>
        <w:ind w:left="222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11">
    <w:nsid w:val="53883DFA"/>
    <w:multiLevelType w:val="hybridMultilevel"/>
    <w:tmpl w:val="BA84F284"/>
    <w:lvl w:ilvl="0" w:tplc="5C1E409A">
      <w:start w:val="1"/>
      <w:numFmt w:val="bullet"/>
      <w:lvlText w:val="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2">
    <w:nsid w:val="56A0023F"/>
    <w:multiLevelType w:val="hybridMultilevel"/>
    <w:tmpl w:val="0A0CB62A"/>
    <w:lvl w:ilvl="0" w:tplc="74EC26B4">
      <w:start w:val="3"/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524"/>
        </w:tabs>
        <w:ind w:left="352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684"/>
        </w:tabs>
        <w:ind w:left="568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abstractNum w:abstractNumId="13">
    <w:nsid w:val="5B71561D"/>
    <w:multiLevelType w:val="multilevel"/>
    <w:tmpl w:val="B18859D2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  <w:b/>
        <w:color w:val="000000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color w:val="00000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  <w:color w:val="00000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  <w:color w:val="00000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  <w:color w:val="00000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  <w:color w:val="000000"/>
      </w:rPr>
    </w:lvl>
  </w:abstractNum>
  <w:abstractNum w:abstractNumId="14">
    <w:nsid w:val="5EC56337"/>
    <w:multiLevelType w:val="singleLevel"/>
    <w:tmpl w:val="041B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5">
    <w:nsid w:val="6B295E26"/>
    <w:multiLevelType w:val="hybridMultilevel"/>
    <w:tmpl w:val="2E7EEA62"/>
    <w:lvl w:ilvl="0" w:tplc="041B000B">
      <w:start w:val="1"/>
      <w:numFmt w:val="bullet"/>
      <w:lvlText w:val=""/>
      <w:lvlJc w:val="left"/>
      <w:pPr>
        <w:tabs>
          <w:tab w:val="num" w:pos="709"/>
        </w:tabs>
        <w:ind w:left="709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29"/>
        </w:tabs>
        <w:ind w:left="142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49"/>
        </w:tabs>
        <w:ind w:left="214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69"/>
        </w:tabs>
        <w:ind w:left="286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589"/>
        </w:tabs>
        <w:ind w:left="358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09"/>
        </w:tabs>
        <w:ind w:left="430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29"/>
        </w:tabs>
        <w:ind w:left="502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49"/>
        </w:tabs>
        <w:ind w:left="574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69"/>
        </w:tabs>
        <w:ind w:left="6469" w:hanging="360"/>
      </w:pPr>
      <w:rPr>
        <w:rFonts w:ascii="Wingdings" w:hAnsi="Wingdings" w:hint="default"/>
      </w:rPr>
    </w:lvl>
  </w:abstractNum>
  <w:abstractNum w:abstractNumId="16">
    <w:nsid w:val="6B352BB2"/>
    <w:multiLevelType w:val="hybridMultilevel"/>
    <w:tmpl w:val="2292ABE2"/>
    <w:lvl w:ilvl="0" w:tplc="041B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F763EAF"/>
    <w:multiLevelType w:val="hybridMultilevel"/>
    <w:tmpl w:val="25162A42"/>
    <w:lvl w:ilvl="0" w:tplc="041B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8">
    <w:nsid w:val="78C03774"/>
    <w:multiLevelType w:val="multilevel"/>
    <w:tmpl w:val="3AA8BE4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6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9">
    <w:nsid w:val="7D8F30E1"/>
    <w:multiLevelType w:val="multilevel"/>
    <w:tmpl w:val="6B5C34B0"/>
    <w:lvl w:ilvl="0">
      <w:start w:val="1"/>
      <w:numFmt w:val="decimal"/>
      <w:pStyle w:val="Nadpis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none"/>
      <w:lvlText w:val="1.1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pStyle w:val="Nadpis3"/>
      <w:lvlText w:val="%1.1.1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0">
    <w:nsid w:val="7E3C2AE0"/>
    <w:multiLevelType w:val="multilevel"/>
    <w:tmpl w:val="CD1080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num w:numId="1">
    <w:abstractNumId w:val="9"/>
  </w:num>
  <w:num w:numId="2">
    <w:abstractNumId w:val="5"/>
  </w:num>
  <w:num w:numId="3">
    <w:abstractNumId w:val="19"/>
  </w:num>
  <w:num w:numId="4">
    <w:abstractNumId w:val="0"/>
  </w:num>
  <w:num w:numId="5">
    <w:abstractNumId w:val="15"/>
  </w:num>
  <w:num w:numId="6">
    <w:abstractNumId w:val="20"/>
  </w:num>
  <w:num w:numId="7">
    <w:abstractNumId w:val="8"/>
  </w:num>
  <w:num w:numId="8">
    <w:abstractNumId w:val="3"/>
  </w:num>
  <w:num w:numId="9">
    <w:abstractNumId w:val="17"/>
  </w:num>
  <w:num w:numId="10">
    <w:abstractNumId w:val="12"/>
  </w:num>
  <w:num w:numId="11">
    <w:abstractNumId w:val="18"/>
  </w:num>
  <w:num w:numId="12">
    <w:abstractNumId w:val="16"/>
  </w:num>
  <w:num w:numId="13">
    <w:abstractNumId w:val="10"/>
  </w:num>
  <w:num w:numId="14">
    <w:abstractNumId w:val="2"/>
  </w:num>
  <w:num w:numId="15">
    <w:abstractNumId w:val="6"/>
  </w:num>
  <w:num w:numId="16">
    <w:abstractNumId w:val="13"/>
  </w:num>
  <w:num w:numId="17">
    <w:abstractNumId w:val="1"/>
  </w:num>
  <w:num w:numId="18">
    <w:abstractNumId w:val="7"/>
  </w:num>
  <w:num w:numId="19">
    <w:abstractNumId w:val="14"/>
  </w:num>
  <w:num w:numId="20">
    <w:abstractNumId w:val="4"/>
  </w:num>
  <w:num w:numId="21">
    <w:abstractNumId w:val="11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GrammaticalError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5B76"/>
    <w:rsid w:val="000046E7"/>
    <w:rsid w:val="000066EC"/>
    <w:rsid w:val="00025C71"/>
    <w:rsid w:val="00026435"/>
    <w:rsid w:val="00054AB4"/>
    <w:rsid w:val="00074C37"/>
    <w:rsid w:val="00076B05"/>
    <w:rsid w:val="0008569A"/>
    <w:rsid w:val="000871F5"/>
    <w:rsid w:val="00087DA3"/>
    <w:rsid w:val="00096632"/>
    <w:rsid w:val="000A2836"/>
    <w:rsid w:val="000A355C"/>
    <w:rsid w:val="000B5A7C"/>
    <w:rsid w:val="000C25AA"/>
    <w:rsid w:val="000C7655"/>
    <w:rsid w:val="000E012E"/>
    <w:rsid w:val="000F5BF1"/>
    <w:rsid w:val="00103A08"/>
    <w:rsid w:val="001045FA"/>
    <w:rsid w:val="001116CB"/>
    <w:rsid w:val="00115741"/>
    <w:rsid w:val="00120A2D"/>
    <w:rsid w:val="00122BD7"/>
    <w:rsid w:val="001400AF"/>
    <w:rsid w:val="00141FD0"/>
    <w:rsid w:val="00145793"/>
    <w:rsid w:val="00153309"/>
    <w:rsid w:val="0015694A"/>
    <w:rsid w:val="00170E64"/>
    <w:rsid w:val="0018085D"/>
    <w:rsid w:val="00191426"/>
    <w:rsid w:val="001A1135"/>
    <w:rsid w:val="001A4CBC"/>
    <w:rsid w:val="001B20CF"/>
    <w:rsid w:val="001B3A28"/>
    <w:rsid w:val="001C7AEF"/>
    <w:rsid w:val="001D0314"/>
    <w:rsid w:val="001D0600"/>
    <w:rsid w:val="001D0FCD"/>
    <w:rsid w:val="001D1B44"/>
    <w:rsid w:val="001E1B8A"/>
    <w:rsid w:val="001E1CBE"/>
    <w:rsid w:val="001E20C2"/>
    <w:rsid w:val="002037F9"/>
    <w:rsid w:val="002137B4"/>
    <w:rsid w:val="0021534F"/>
    <w:rsid w:val="00221B11"/>
    <w:rsid w:val="00222B97"/>
    <w:rsid w:val="00230E8D"/>
    <w:rsid w:val="00233410"/>
    <w:rsid w:val="00241345"/>
    <w:rsid w:val="00242047"/>
    <w:rsid w:val="00247DCE"/>
    <w:rsid w:val="00252CF5"/>
    <w:rsid w:val="002568F8"/>
    <w:rsid w:val="002667C1"/>
    <w:rsid w:val="0029385B"/>
    <w:rsid w:val="002A5CBE"/>
    <w:rsid w:val="002B34A0"/>
    <w:rsid w:val="002C5161"/>
    <w:rsid w:val="002D4ADF"/>
    <w:rsid w:val="002E701B"/>
    <w:rsid w:val="00301449"/>
    <w:rsid w:val="003152CF"/>
    <w:rsid w:val="0032100D"/>
    <w:rsid w:val="003215BF"/>
    <w:rsid w:val="00321754"/>
    <w:rsid w:val="003261FA"/>
    <w:rsid w:val="00347392"/>
    <w:rsid w:val="00356ECC"/>
    <w:rsid w:val="0037457F"/>
    <w:rsid w:val="00374D6B"/>
    <w:rsid w:val="00375DB3"/>
    <w:rsid w:val="0038108E"/>
    <w:rsid w:val="00392264"/>
    <w:rsid w:val="003A6CF3"/>
    <w:rsid w:val="003B0253"/>
    <w:rsid w:val="003B76F0"/>
    <w:rsid w:val="003C1A7D"/>
    <w:rsid w:val="003E1029"/>
    <w:rsid w:val="003F7C26"/>
    <w:rsid w:val="00405326"/>
    <w:rsid w:val="00411F98"/>
    <w:rsid w:val="00415580"/>
    <w:rsid w:val="00415F50"/>
    <w:rsid w:val="00430578"/>
    <w:rsid w:val="00435B59"/>
    <w:rsid w:val="00445B8E"/>
    <w:rsid w:val="00453BB1"/>
    <w:rsid w:val="00455546"/>
    <w:rsid w:val="004572D0"/>
    <w:rsid w:val="004621B1"/>
    <w:rsid w:val="00464561"/>
    <w:rsid w:val="00475AA9"/>
    <w:rsid w:val="004764FC"/>
    <w:rsid w:val="00485707"/>
    <w:rsid w:val="004A1CCC"/>
    <w:rsid w:val="004B536A"/>
    <w:rsid w:val="004C2BC8"/>
    <w:rsid w:val="004C31D6"/>
    <w:rsid w:val="004D0C8A"/>
    <w:rsid w:val="004D1194"/>
    <w:rsid w:val="004D2C1E"/>
    <w:rsid w:val="004D781A"/>
    <w:rsid w:val="004D7CF7"/>
    <w:rsid w:val="004E52D9"/>
    <w:rsid w:val="004F4973"/>
    <w:rsid w:val="004F761A"/>
    <w:rsid w:val="00504C33"/>
    <w:rsid w:val="00506E81"/>
    <w:rsid w:val="00514213"/>
    <w:rsid w:val="00520F4D"/>
    <w:rsid w:val="005211A4"/>
    <w:rsid w:val="0053100D"/>
    <w:rsid w:val="00531395"/>
    <w:rsid w:val="00531A2A"/>
    <w:rsid w:val="00536121"/>
    <w:rsid w:val="00541557"/>
    <w:rsid w:val="00556ECB"/>
    <w:rsid w:val="00557E34"/>
    <w:rsid w:val="005603E8"/>
    <w:rsid w:val="00564222"/>
    <w:rsid w:val="005740EF"/>
    <w:rsid w:val="0057621C"/>
    <w:rsid w:val="00585F3B"/>
    <w:rsid w:val="005910A7"/>
    <w:rsid w:val="0059780B"/>
    <w:rsid w:val="005A2C24"/>
    <w:rsid w:val="005A3601"/>
    <w:rsid w:val="005B148C"/>
    <w:rsid w:val="005B32C3"/>
    <w:rsid w:val="005C0EDE"/>
    <w:rsid w:val="005C1964"/>
    <w:rsid w:val="005C1D59"/>
    <w:rsid w:val="005D3158"/>
    <w:rsid w:val="005F5757"/>
    <w:rsid w:val="005F683C"/>
    <w:rsid w:val="0060142F"/>
    <w:rsid w:val="00606EC5"/>
    <w:rsid w:val="006311A6"/>
    <w:rsid w:val="00632522"/>
    <w:rsid w:val="00641E12"/>
    <w:rsid w:val="006436AD"/>
    <w:rsid w:val="00655763"/>
    <w:rsid w:val="00657CB2"/>
    <w:rsid w:val="00671848"/>
    <w:rsid w:val="0067527D"/>
    <w:rsid w:val="00676334"/>
    <w:rsid w:val="006827B9"/>
    <w:rsid w:val="00683921"/>
    <w:rsid w:val="00694B7C"/>
    <w:rsid w:val="006A0268"/>
    <w:rsid w:val="006A6D2D"/>
    <w:rsid w:val="006A743D"/>
    <w:rsid w:val="006A7745"/>
    <w:rsid w:val="006B4EA6"/>
    <w:rsid w:val="006B55BD"/>
    <w:rsid w:val="006C1AC5"/>
    <w:rsid w:val="006D1D5C"/>
    <w:rsid w:val="006E3DF5"/>
    <w:rsid w:val="006E50AF"/>
    <w:rsid w:val="006E5D57"/>
    <w:rsid w:val="006E6452"/>
    <w:rsid w:val="006E6587"/>
    <w:rsid w:val="006F33F4"/>
    <w:rsid w:val="00703521"/>
    <w:rsid w:val="00704D7E"/>
    <w:rsid w:val="007154B3"/>
    <w:rsid w:val="0072204C"/>
    <w:rsid w:val="007230A8"/>
    <w:rsid w:val="0072485E"/>
    <w:rsid w:val="00744906"/>
    <w:rsid w:val="007543A6"/>
    <w:rsid w:val="00756CD5"/>
    <w:rsid w:val="00774F4A"/>
    <w:rsid w:val="00777AB9"/>
    <w:rsid w:val="00782064"/>
    <w:rsid w:val="00786FDE"/>
    <w:rsid w:val="00790AB8"/>
    <w:rsid w:val="007A06EB"/>
    <w:rsid w:val="007B15F9"/>
    <w:rsid w:val="007B2A41"/>
    <w:rsid w:val="007E02FF"/>
    <w:rsid w:val="007E6210"/>
    <w:rsid w:val="007E792B"/>
    <w:rsid w:val="007F3505"/>
    <w:rsid w:val="0080376C"/>
    <w:rsid w:val="00805848"/>
    <w:rsid w:val="00814DE9"/>
    <w:rsid w:val="00820518"/>
    <w:rsid w:val="0082085D"/>
    <w:rsid w:val="00832168"/>
    <w:rsid w:val="008322FA"/>
    <w:rsid w:val="008345C6"/>
    <w:rsid w:val="0083676A"/>
    <w:rsid w:val="00841FFC"/>
    <w:rsid w:val="008422B6"/>
    <w:rsid w:val="00851C76"/>
    <w:rsid w:val="00852B0B"/>
    <w:rsid w:val="00860730"/>
    <w:rsid w:val="00860DED"/>
    <w:rsid w:val="008615AA"/>
    <w:rsid w:val="00864E2E"/>
    <w:rsid w:val="008734D0"/>
    <w:rsid w:val="00880AA9"/>
    <w:rsid w:val="008904E5"/>
    <w:rsid w:val="00893085"/>
    <w:rsid w:val="008A37C1"/>
    <w:rsid w:val="008A38D3"/>
    <w:rsid w:val="008A4011"/>
    <w:rsid w:val="008A43C5"/>
    <w:rsid w:val="008B226A"/>
    <w:rsid w:val="008B5598"/>
    <w:rsid w:val="008C095F"/>
    <w:rsid w:val="008C76A0"/>
    <w:rsid w:val="008C788E"/>
    <w:rsid w:val="008D1DC6"/>
    <w:rsid w:val="008D4284"/>
    <w:rsid w:val="008E0AA4"/>
    <w:rsid w:val="008F0186"/>
    <w:rsid w:val="008F5CDC"/>
    <w:rsid w:val="008F6014"/>
    <w:rsid w:val="0090439B"/>
    <w:rsid w:val="009143AF"/>
    <w:rsid w:val="009166DE"/>
    <w:rsid w:val="00924CC6"/>
    <w:rsid w:val="00941B7E"/>
    <w:rsid w:val="00946973"/>
    <w:rsid w:val="00952D81"/>
    <w:rsid w:val="0095335F"/>
    <w:rsid w:val="0097392A"/>
    <w:rsid w:val="00973CAF"/>
    <w:rsid w:val="00991FE0"/>
    <w:rsid w:val="00995B76"/>
    <w:rsid w:val="0099625B"/>
    <w:rsid w:val="00996976"/>
    <w:rsid w:val="009B5D9F"/>
    <w:rsid w:val="009C0D64"/>
    <w:rsid w:val="009C3DC7"/>
    <w:rsid w:val="009D53B8"/>
    <w:rsid w:val="009F05A3"/>
    <w:rsid w:val="009F48BB"/>
    <w:rsid w:val="009F5EF0"/>
    <w:rsid w:val="00A02473"/>
    <w:rsid w:val="00A31599"/>
    <w:rsid w:val="00A36E35"/>
    <w:rsid w:val="00A4666B"/>
    <w:rsid w:val="00A51015"/>
    <w:rsid w:val="00A60C75"/>
    <w:rsid w:val="00A6696B"/>
    <w:rsid w:val="00A70CDF"/>
    <w:rsid w:val="00A76E58"/>
    <w:rsid w:val="00A835DE"/>
    <w:rsid w:val="00A84BF6"/>
    <w:rsid w:val="00A86F35"/>
    <w:rsid w:val="00AA19F8"/>
    <w:rsid w:val="00AA7232"/>
    <w:rsid w:val="00AB2C20"/>
    <w:rsid w:val="00AC5056"/>
    <w:rsid w:val="00AC5393"/>
    <w:rsid w:val="00AD21FB"/>
    <w:rsid w:val="00AD7728"/>
    <w:rsid w:val="00AE3AF5"/>
    <w:rsid w:val="00AE4F23"/>
    <w:rsid w:val="00AF0F69"/>
    <w:rsid w:val="00AF6367"/>
    <w:rsid w:val="00B04981"/>
    <w:rsid w:val="00B1606E"/>
    <w:rsid w:val="00B166A4"/>
    <w:rsid w:val="00B30FD8"/>
    <w:rsid w:val="00B3450E"/>
    <w:rsid w:val="00B45A54"/>
    <w:rsid w:val="00B556F0"/>
    <w:rsid w:val="00B62E7E"/>
    <w:rsid w:val="00B63243"/>
    <w:rsid w:val="00B72D5C"/>
    <w:rsid w:val="00B96CA3"/>
    <w:rsid w:val="00BA41A4"/>
    <w:rsid w:val="00BC6519"/>
    <w:rsid w:val="00BD7236"/>
    <w:rsid w:val="00BE226F"/>
    <w:rsid w:val="00C04AC7"/>
    <w:rsid w:val="00C07717"/>
    <w:rsid w:val="00C4530D"/>
    <w:rsid w:val="00C54ECA"/>
    <w:rsid w:val="00C65250"/>
    <w:rsid w:val="00C830D8"/>
    <w:rsid w:val="00C83F30"/>
    <w:rsid w:val="00C84727"/>
    <w:rsid w:val="00C96396"/>
    <w:rsid w:val="00C971F1"/>
    <w:rsid w:val="00CA14A9"/>
    <w:rsid w:val="00CA2333"/>
    <w:rsid w:val="00CA3E44"/>
    <w:rsid w:val="00CA615A"/>
    <w:rsid w:val="00CC1F0C"/>
    <w:rsid w:val="00CC768B"/>
    <w:rsid w:val="00CE37E7"/>
    <w:rsid w:val="00CE3D8C"/>
    <w:rsid w:val="00CE4723"/>
    <w:rsid w:val="00CE549A"/>
    <w:rsid w:val="00CE5B4B"/>
    <w:rsid w:val="00CE6BDF"/>
    <w:rsid w:val="00CF09C6"/>
    <w:rsid w:val="00CF0F64"/>
    <w:rsid w:val="00CF2E5C"/>
    <w:rsid w:val="00D07D06"/>
    <w:rsid w:val="00D10434"/>
    <w:rsid w:val="00D1232F"/>
    <w:rsid w:val="00D17D96"/>
    <w:rsid w:val="00D23FCB"/>
    <w:rsid w:val="00D27AB7"/>
    <w:rsid w:val="00D33579"/>
    <w:rsid w:val="00D35AB4"/>
    <w:rsid w:val="00D40A40"/>
    <w:rsid w:val="00D41528"/>
    <w:rsid w:val="00D463CA"/>
    <w:rsid w:val="00D64A39"/>
    <w:rsid w:val="00D6616E"/>
    <w:rsid w:val="00D733B9"/>
    <w:rsid w:val="00D80CD5"/>
    <w:rsid w:val="00D813DB"/>
    <w:rsid w:val="00D85D90"/>
    <w:rsid w:val="00D935E2"/>
    <w:rsid w:val="00D93F59"/>
    <w:rsid w:val="00D96029"/>
    <w:rsid w:val="00DA7095"/>
    <w:rsid w:val="00DD6CDF"/>
    <w:rsid w:val="00DD7B69"/>
    <w:rsid w:val="00DE331D"/>
    <w:rsid w:val="00DF3CEA"/>
    <w:rsid w:val="00DF661F"/>
    <w:rsid w:val="00E06169"/>
    <w:rsid w:val="00E20A54"/>
    <w:rsid w:val="00E334A4"/>
    <w:rsid w:val="00E335A2"/>
    <w:rsid w:val="00E43338"/>
    <w:rsid w:val="00E433FE"/>
    <w:rsid w:val="00E46240"/>
    <w:rsid w:val="00E54AD5"/>
    <w:rsid w:val="00E61D70"/>
    <w:rsid w:val="00E65525"/>
    <w:rsid w:val="00E83E1B"/>
    <w:rsid w:val="00E85F4A"/>
    <w:rsid w:val="00E9026E"/>
    <w:rsid w:val="00E9343E"/>
    <w:rsid w:val="00EA25A1"/>
    <w:rsid w:val="00EB3A73"/>
    <w:rsid w:val="00EE1AD5"/>
    <w:rsid w:val="00EE2D56"/>
    <w:rsid w:val="00EE6908"/>
    <w:rsid w:val="00EF5F12"/>
    <w:rsid w:val="00F47107"/>
    <w:rsid w:val="00F53757"/>
    <w:rsid w:val="00F54459"/>
    <w:rsid w:val="00F572A7"/>
    <w:rsid w:val="00F732AA"/>
    <w:rsid w:val="00F82FA7"/>
    <w:rsid w:val="00F841D7"/>
    <w:rsid w:val="00F85FD2"/>
    <w:rsid w:val="00F94961"/>
    <w:rsid w:val="00F97BDB"/>
    <w:rsid w:val="00FB2697"/>
    <w:rsid w:val="00FB6B4F"/>
    <w:rsid w:val="00FF18C4"/>
    <w:rsid w:val="00FF4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E20A54"/>
    <w:rPr>
      <w:sz w:val="24"/>
      <w:szCs w:val="24"/>
    </w:rPr>
  </w:style>
  <w:style w:type="paragraph" w:styleId="Nadpis1">
    <w:name w:val="heading 1"/>
    <w:basedOn w:val="Normlny"/>
    <w:next w:val="Normlny"/>
    <w:qFormat/>
    <w:rsid w:val="00485707"/>
    <w:pPr>
      <w:keepNext/>
      <w:numPr>
        <w:numId w:val="3"/>
      </w:numPr>
      <w:spacing w:before="240" w:after="120" w:line="360" w:lineRule="auto"/>
      <w:jc w:val="both"/>
      <w:outlineLvl w:val="0"/>
    </w:pPr>
    <w:rPr>
      <w:rFonts w:ascii="Arial" w:hAnsi="Arial"/>
      <w:b/>
      <w:kern w:val="28"/>
      <w:sz w:val="28"/>
      <w:szCs w:val="20"/>
    </w:rPr>
  </w:style>
  <w:style w:type="paragraph" w:styleId="Nadpis2">
    <w:name w:val="heading 2"/>
    <w:basedOn w:val="Normlny"/>
    <w:next w:val="Normlny"/>
    <w:link w:val="Nadpis2Char"/>
    <w:qFormat/>
    <w:rsid w:val="00E20A54"/>
    <w:pPr>
      <w:keepNext/>
      <w:jc w:val="both"/>
      <w:outlineLvl w:val="1"/>
    </w:pPr>
    <w:rPr>
      <w:rFonts w:ascii="Arial" w:hAnsi="Arial"/>
      <w:b/>
      <w:sz w:val="22"/>
      <w:szCs w:val="20"/>
    </w:rPr>
  </w:style>
  <w:style w:type="paragraph" w:styleId="Nadpis3">
    <w:name w:val="heading 3"/>
    <w:basedOn w:val="Normlny"/>
    <w:next w:val="Normlny"/>
    <w:qFormat/>
    <w:rsid w:val="00485707"/>
    <w:pPr>
      <w:keepNext/>
      <w:numPr>
        <w:ilvl w:val="2"/>
        <w:numId w:val="3"/>
      </w:numPr>
      <w:tabs>
        <w:tab w:val="clear" w:pos="1440"/>
        <w:tab w:val="num" w:pos="360"/>
      </w:tabs>
      <w:spacing w:before="120" w:after="60" w:line="360" w:lineRule="auto"/>
      <w:ind w:left="360" w:hanging="360"/>
      <w:jc w:val="both"/>
      <w:outlineLvl w:val="2"/>
    </w:pPr>
    <w:rPr>
      <w:rFonts w:ascii="Arial" w:hAnsi="Arial"/>
      <w:b/>
      <w:szCs w:val="20"/>
    </w:rPr>
  </w:style>
  <w:style w:type="paragraph" w:styleId="Nadpis4">
    <w:name w:val="heading 4"/>
    <w:basedOn w:val="Normlny"/>
    <w:next w:val="Normlny"/>
    <w:qFormat/>
    <w:rsid w:val="00E20A54"/>
    <w:pPr>
      <w:keepNext/>
      <w:outlineLvl w:val="3"/>
    </w:pPr>
    <w:rPr>
      <w:rFonts w:ascii="Arial" w:hAnsi="Arial"/>
      <w:szCs w:val="20"/>
    </w:rPr>
  </w:style>
  <w:style w:type="paragraph" w:styleId="Nadpis6">
    <w:name w:val="heading 6"/>
    <w:basedOn w:val="Normlny"/>
    <w:next w:val="Normlny"/>
    <w:qFormat/>
    <w:rsid w:val="00485707"/>
    <w:pPr>
      <w:keepNext/>
      <w:tabs>
        <w:tab w:val="left" w:pos="567"/>
        <w:tab w:val="left" w:pos="709"/>
        <w:tab w:val="decimal" w:pos="8222"/>
      </w:tabs>
      <w:spacing w:before="240" w:after="120" w:line="360" w:lineRule="auto"/>
      <w:jc w:val="center"/>
      <w:outlineLvl w:val="5"/>
    </w:pPr>
    <w:rPr>
      <w:rFonts w:ascii="Arial" w:hAnsi="Arial"/>
      <w:b/>
      <w:szCs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customStyle="1" w:styleId="CarCharChar">
    <w:name w:val="Car Char Char"/>
    <w:basedOn w:val="Normlny"/>
    <w:rsid w:val="00E20A54"/>
    <w:pPr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styleId="Zarkazkladnhotextu">
    <w:name w:val="Body Text Indent"/>
    <w:basedOn w:val="Normlny"/>
    <w:link w:val="ZarkazkladnhotextuChar"/>
    <w:rsid w:val="00E20A54"/>
    <w:pPr>
      <w:ind w:left="360"/>
      <w:jc w:val="both"/>
    </w:pPr>
    <w:rPr>
      <w:rFonts w:ascii="Arial" w:hAnsi="Arial"/>
      <w:szCs w:val="20"/>
    </w:rPr>
  </w:style>
  <w:style w:type="paragraph" w:styleId="Pta">
    <w:name w:val="footer"/>
    <w:basedOn w:val="Normlny"/>
    <w:link w:val="PtaChar"/>
    <w:rsid w:val="00E20A54"/>
    <w:pPr>
      <w:tabs>
        <w:tab w:val="center" w:pos="4536"/>
        <w:tab w:val="right" w:pos="9072"/>
      </w:tabs>
    </w:pPr>
    <w:rPr>
      <w:sz w:val="20"/>
      <w:szCs w:val="20"/>
      <w:lang w:eastAsia="cs-CZ"/>
    </w:rPr>
  </w:style>
  <w:style w:type="paragraph" w:styleId="Zkladntext">
    <w:name w:val="Body Text"/>
    <w:basedOn w:val="Normlny"/>
    <w:link w:val="ZkladntextChar"/>
    <w:rsid w:val="00E20A54"/>
    <w:rPr>
      <w:rFonts w:ascii="Arial" w:hAnsi="Arial"/>
      <w:color w:val="000000"/>
      <w:sz w:val="20"/>
      <w:szCs w:val="20"/>
      <w:lang w:eastAsia="cs-CZ"/>
    </w:rPr>
  </w:style>
  <w:style w:type="character" w:styleId="Hypertextovprepojenie">
    <w:name w:val="Hyperlink"/>
    <w:basedOn w:val="Predvolenpsmoodseku"/>
    <w:rsid w:val="00E20A54"/>
    <w:rPr>
      <w:color w:val="0000FF"/>
      <w:u w:val="single"/>
    </w:rPr>
  </w:style>
  <w:style w:type="character" w:styleId="PouitHypertextovPrepojenie">
    <w:name w:val="FollowedHyperlink"/>
    <w:basedOn w:val="Predvolenpsmoodseku"/>
    <w:rsid w:val="00FF48A1"/>
    <w:rPr>
      <w:color w:val="800080"/>
      <w:u w:val="single"/>
    </w:rPr>
  </w:style>
  <w:style w:type="paragraph" w:styleId="Textbubliny">
    <w:name w:val="Balloon Text"/>
    <w:basedOn w:val="Normlny"/>
    <w:link w:val="TextbublinyChar"/>
    <w:rsid w:val="00557E34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rsid w:val="00657CB2"/>
    <w:pPr>
      <w:tabs>
        <w:tab w:val="center" w:pos="4536"/>
        <w:tab w:val="right" w:pos="9072"/>
      </w:tabs>
    </w:pPr>
    <w:rPr>
      <w:rFonts w:ascii="Arial" w:hAnsi="Arial"/>
      <w:szCs w:val="20"/>
    </w:rPr>
  </w:style>
  <w:style w:type="paragraph" w:styleId="Zkladntext2">
    <w:name w:val="Body Text 2"/>
    <w:basedOn w:val="Normlny"/>
    <w:link w:val="Zkladntext2Char"/>
    <w:rsid w:val="00657CB2"/>
    <w:pPr>
      <w:spacing w:after="120" w:line="480" w:lineRule="auto"/>
    </w:pPr>
    <w:rPr>
      <w:rFonts w:ascii="Arial" w:hAnsi="Arial"/>
      <w:szCs w:val="20"/>
    </w:rPr>
  </w:style>
  <w:style w:type="paragraph" w:styleId="Zkladntext3">
    <w:name w:val="Body Text 3"/>
    <w:basedOn w:val="Normlny"/>
    <w:rsid w:val="00657CB2"/>
    <w:pPr>
      <w:spacing w:after="120"/>
    </w:pPr>
    <w:rPr>
      <w:rFonts w:ascii="Arial" w:hAnsi="Arial"/>
      <w:sz w:val="16"/>
      <w:szCs w:val="16"/>
    </w:rPr>
  </w:style>
  <w:style w:type="paragraph" w:styleId="Zarkazkladnhotextu3">
    <w:name w:val="Body Text Indent 3"/>
    <w:basedOn w:val="Normlny"/>
    <w:link w:val="Zarkazkladnhotextu3Char"/>
    <w:rsid w:val="00485707"/>
    <w:pPr>
      <w:spacing w:after="120"/>
      <w:ind w:left="283"/>
    </w:pPr>
    <w:rPr>
      <w:rFonts w:ascii="Arial" w:hAnsi="Arial"/>
      <w:sz w:val="16"/>
      <w:szCs w:val="16"/>
    </w:rPr>
  </w:style>
  <w:style w:type="paragraph" w:styleId="Zarkazkladnhotextu2">
    <w:name w:val="Body Text Indent 2"/>
    <w:basedOn w:val="Normlny"/>
    <w:link w:val="Zarkazkladnhotextu2Char"/>
    <w:rsid w:val="00485707"/>
    <w:pPr>
      <w:spacing w:after="120" w:line="480" w:lineRule="auto"/>
      <w:ind w:left="283"/>
    </w:pPr>
    <w:rPr>
      <w:rFonts w:ascii="Arial" w:hAnsi="Arial"/>
      <w:szCs w:val="20"/>
    </w:rPr>
  </w:style>
  <w:style w:type="character" w:styleId="slostrany">
    <w:name w:val="page number"/>
    <w:basedOn w:val="Predvolenpsmoodseku"/>
    <w:rsid w:val="00485707"/>
  </w:style>
  <w:style w:type="paragraph" w:customStyle="1" w:styleId="kSk">
    <w:name w:val="kSk"/>
    <w:basedOn w:val="Normlny"/>
    <w:rsid w:val="00485707"/>
    <w:pPr>
      <w:tabs>
        <w:tab w:val="left" w:pos="426"/>
        <w:tab w:val="decimal" w:pos="8080"/>
      </w:tabs>
      <w:spacing w:after="240" w:line="360" w:lineRule="auto"/>
    </w:pPr>
    <w:rPr>
      <w:rFonts w:ascii="Arial" w:hAnsi="Arial"/>
      <w:szCs w:val="20"/>
    </w:rPr>
  </w:style>
  <w:style w:type="table" w:styleId="Mriekatabuky">
    <w:name w:val="Table Grid"/>
    <w:basedOn w:val="Normlnatabuka"/>
    <w:rsid w:val="0048570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Veobecn">
    <w:name w:val="Všeobecný"/>
    <w:basedOn w:val="Normlny"/>
    <w:rsid w:val="00485707"/>
    <w:pPr>
      <w:jc w:val="both"/>
    </w:pPr>
    <w:rPr>
      <w:rFonts w:ascii="Arial" w:hAnsi="Arial"/>
      <w:szCs w:val="20"/>
      <w:lang w:eastAsia="cs-CZ"/>
    </w:rPr>
  </w:style>
  <w:style w:type="paragraph" w:customStyle="1" w:styleId="Char">
    <w:name w:val="Char"/>
    <w:basedOn w:val="Normlny"/>
    <w:rsid w:val="00475AA9"/>
    <w:pPr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styleId="truktradokumentu">
    <w:name w:val="Document Map"/>
    <w:basedOn w:val="Normlny"/>
    <w:semiHidden/>
    <w:rsid w:val="003B0253"/>
    <w:pPr>
      <w:shd w:val="clear" w:color="auto" w:fill="000080"/>
    </w:pPr>
    <w:rPr>
      <w:rFonts w:ascii="Tahoma" w:hAnsi="Tahoma" w:cs="Tahoma"/>
      <w:sz w:val="20"/>
      <w:szCs w:val="20"/>
    </w:rPr>
  </w:style>
  <w:style w:type="numbering" w:customStyle="1" w:styleId="Bezzoznamu1">
    <w:name w:val="Bez zoznamu1"/>
    <w:next w:val="Bezzoznamu"/>
    <w:uiPriority w:val="99"/>
    <w:semiHidden/>
    <w:unhideWhenUsed/>
    <w:rsid w:val="008F5CDC"/>
  </w:style>
  <w:style w:type="character" w:customStyle="1" w:styleId="Nadpis2Char">
    <w:name w:val="Nadpis 2 Char"/>
    <w:basedOn w:val="Predvolenpsmoodseku"/>
    <w:link w:val="Nadpis2"/>
    <w:rsid w:val="008F5CDC"/>
    <w:rPr>
      <w:rFonts w:ascii="Arial" w:hAnsi="Arial"/>
      <w:b/>
      <w:sz w:val="22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8F5CDC"/>
    <w:rPr>
      <w:rFonts w:ascii="Arial" w:hAnsi="Arial"/>
      <w:sz w:val="16"/>
      <w:szCs w:val="16"/>
    </w:rPr>
  </w:style>
  <w:style w:type="character" w:customStyle="1" w:styleId="ZarkazkladnhotextuChar">
    <w:name w:val="Zarážka základného textu Char"/>
    <w:basedOn w:val="Predvolenpsmoodseku"/>
    <w:link w:val="Zarkazkladnhotextu"/>
    <w:rsid w:val="008F5CDC"/>
    <w:rPr>
      <w:rFonts w:ascii="Arial" w:hAnsi="Arial"/>
      <w:sz w:val="24"/>
    </w:rPr>
  </w:style>
  <w:style w:type="character" w:customStyle="1" w:styleId="ZkladntextChar">
    <w:name w:val="Základný text Char"/>
    <w:basedOn w:val="Predvolenpsmoodseku"/>
    <w:link w:val="Zkladntext"/>
    <w:rsid w:val="008F5CDC"/>
    <w:rPr>
      <w:rFonts w:ascii="Arial" w:hAnsi="Arial"/>
      <w:color w:val="000000"/>
      <w:lang w:eastAsia="cs-CZ"/>
    </w:rPr>
  </w:style>
  <w:style w:type="character" w:customStyle="1" w:styleId="Zarkazkladnhotextu2Char">
    <w:name w:val="Zarážka základného textu 2 Char"/>
    <w:basedOn w:val="Predvolenpsmoodseku"/>
    <w:link w:val="Zarkazkladnhotextu2"/>
    <w:rsid w:val="008F5CDC"/>
    <w:rPr>
      <w:rFonts w:ascii="Arial" w:hAnsi="Arial"/>
      <w:sz w:val="24"/>
    </w:rPr>
  </w:style>
  <w:style w:type="character" w:customStyle="1" w:styleId="Zkladntext2Char">
    <w:name w:val="Základný text 2 Char"/>
    <w:basedOn w:val="Predvolenpsmoodseku"/>
    <w:link w:val="Zkladntext2"/>
    <w:rsid w:val="008F5CDC"/>
    <w:rPr>
      <w:rFonts w:ascii="Arial" w:hAnsi="Arial"/>
      <w:sz w:val="24"/>
    </w:rPr>
  </w:style>
  <w:style w:type="character" w:customStyle="1" w:styleId="PtaChar">
    <w:name w:val="Päta Char"/>
    <w:basedOn w:val="Predvolenpsmoodseku"/>
    <w:link w:val="Pta"/>
    <w:rsid w:val="008F5CDC"/>
    <w:rPr>
      <w:lang w:eastAsia="cs-CZ"/>
    </w:rPr>
  </w:style>
  <w:style w:type="character" w:customStyle="1" w:styleId="TextbublinyChar">
    <w:name w:val="Text bubliny Char"/>
    <w:basedOn w:val="Predvolenpsmoodseku"/>
    <w:link w:val="Textbubliny"/>
    <w:rsid w:val="008F5CDC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8F5CDC"/>
    <w:pPr>
      <w:ind w:left="720"/>
      <w:contextualSpacing/>
    </w:pPr>
    <w:rPr>
      <w:rFonts w:ascii="Arial" w:hAnsi="Arial"/>
      <w:szCs w:val="20"/>
    </w:rPr>
  </w:style>
  <w:style w:type="numbering" w:customStyle="1" w:styleId="Bezzoznamu2">
    <w:name w:val="Bez zoznamu2"/>
    <w:next w:val="Bezzoznamu"/>
    <w:uiPriority w:val="99"/>
    <w:semiHidden/>
    <w:unhideWhenUsed/>
    <w:rsid w:val="00D93F59"/>
  </w:style>
  <w:style w:type="numbering" w:customStyle="1" w:styleId="Bezzoznamu3">
    <w:name w:val="Bez zoznamu3"/>
    <w:next w:val="Bezzoznamu"/>
    <w:uiPriority w:val="99"/>
    <w:semiHidden/>
    <w:unhideWhenUsed/>
    <w:rsid w:val="00D93F59"/>
  </w:style>
  <w:style w:type="numbering" w:customStyle="1" w:styleId="Bezzoznamu4">
    <w:name w:val="Bez zoznamu4"/>
    <w:next w:val="Bezzoznamu"/>
    <w:uiPriority w:val="99"/>
    <w:semiHidden/>
    <w:unhideWhenUsed/>
    <w:rsid w:val="00A70CDF"/>
  </w:style>
  <w:style w:type="numbering" w:customStyle="1" w:styleId="Bezzoznamu5">
    <w:name w:val="Bez zoznamu5"/>
    <w:next w:val="Bezzoznamu"/>
    <w:uiPriority w:val="99"/>
    <w:semiHidden/>
    <w:unhideWhenUsed/>
    <w:rsid w:val="00445B8E"/>
  </w:style>
  <w:style w:type="numbering" w:customStyle="1" w:styleId="Bezzoznamu6">
    <w:name w:val="Bez zoznamu6"/>
    <w:next w:val="Bezzoznamu"/>
    <w:uiPriority w:val="99"/>
    <w:semiHidden/>
    <w:unhideWhenUsed/>
    <w:rsid w:val="0008569A"/>
  </w:style>
  <w:style w:type="numbering" w:customStyle="1" w:styleId="Bezzoznamu7">
    <w:name w:val="Bez zoznamu7"/>
    <w:next w:val="Bezzoznamu"/>
    <w:uiPriority w:val="99"/>
    <w:semiHidden/>
    <w:unhideWhenUsed/>
    <w:rsid w:val="008A38D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E20A54"/>
    <w:rPr>
      <w:sz w:val="24"/>
      <w:szCs w:val="24"/>
    </w:rPr>
  </w:style>
  <w:style w:type="paragraph" w:styleId="Nadpis1">
    <w:name w:val="heading 1"/>
    <w:basedOn w:val="Normlny"/>
    <w:next w:val="Normlny"/>
    <w:qFormat/>
    <w:rsid w:val="00485707"/>
    <w:pPr>
      <w:keepNext/>
      <w:numPr>
        <w:numId w:val="3"/>
      </w:numPr>
      <w:spacing w:before="240" w:after="120" w:line="360" w:lineRule="auto"/>
      <w:jc w:val="both"/>
      <w:outlineLvl w:val="0"/>
    </w:pPr>
    <w:rPr>
      <w:rFonts w:ascii="Arial" w:hAnsi="Arial"/>
      <w:b/>
      <w:kern w:val="28"/>
      <w:sz w:val="28"/>
      <w:szCs w:val="20"/>
    </w:rPr>
  </w:style>
  <w:style w:type="paragraph" w:styleId="Nadpis2">
    <w:name w:val="heading 2"/>
    <w:basedOn w:val="Normlny"/>
    <w:next w:val="Normlny"/>
    <w:link w:val="Nadpis2Char"/>
    <w:qFormat/>
    <w:rsid w:val="00E20A54"/>
    <w:pPr>
      <w:keepNext/>
      <w:jc w:val="both"/>
      <w:outlineLvl w:val="1"/>
    </w:pPr>
    <w:rPr>
      <w:rFonts w:ascii="Arial" w:hAnsi="Arial"/>
      <w:b/>
      <w:sz w:val="22"/>
      <w:szCs w:val="20"/>
    </w:rPr>
  </w:style>
  <w:style w:type="paragraph" w:styleId="Nadpis3">
    <w:name w:val="heading 3"/>
    <w:basedOn w:val="Normlny"/>
    <w:next w:val="Normlny"/>
    <w:qFormat/>
    <w:rsid w:val="00485707"/>
    <w:pPr>
      <w:keepNext/>
      <w:numPr>
        <w:ilvl w:val="2"/>
        <w:numId w:val="3"/>
      </w:numPr>
      <w:tabs>
        <w:tab w:val="clear" w:pos="1440"/>
        <w:tab w:val="num" w:pos="360"/>
      </w:tabs>
      <w:spacing w:before="120" w:after="60" w:line="360" w:lineRule="auto"/>
      <w:ind w:left="360" w:hanging="360"/>
      <w:jc w:val="both"/>
      <w:outlineLvl w:val="2"/>
    </w:pPr>
    <w:rPr>
      <w:rFonts w:ascii="Arial" w:hAnsi="Arial"/>
      <w:b/>
      <w:szCs w:val="20"/>
    </w:rPr>
  </w:style>
  <w:style w:type="paragraph" w:styleId="Nadpis4">
    <w:name w:val="heading 4"/>
    <w:basedOn w:val="Normlny"/>
    <w:next w:val="Normlny"/>
    <w:qFormat/>
    <w:rsid w:val="00E20A54"/>
    <w:pPr>
      <w:keepNext/>
      <w:outlineLvl w:val="3"/>
    </w:pPr>
    <w:rPr>
      <w:rFonts w:ascii="Arial" w:hAnsi="Arial"/>
      <w:szCs w:val="20"/>
    </w:rPr>
  </w:style>
  <w:style w:type="paragraph" w:styleId="Nadpis6">
    <w:name w:val="heading 6"/>
    <w:basedOn w:val="Normlny"/>
    <w:next w:val="Normlny"/>
    <w:qFormat/>
    <w:rsid w:val="00485707"/>
    <w:pPr>
      <w:keepNext/>
      <w:tabs>
        <w:tab w:val="left" w:pos="567"/>
        <w:tab w:val="left" w:pos="709"/>
        <w:tab w:val="decimal" w:pos="8222"/>
      </w:tabs>
      <w:spacing w:before="240" w:after="120" w:line="360" w:lineRule="auto"/>
      <w:jc w:val="center"/>
      <w:outlineLvl w:val="5"/>
    </w:pPr>
    <w:rPr>
      <w:rFonts w:ascii="Arial" w:hAnsi="Arial"/>
      <w:b/>
      <w:szCs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customStyle="1" w:styleId="CarCharChar">
    <w:name w:val="Car Char Char"/>
    <w:basedOn w:val="Normlny"/>
    <w:rsid w:val="00E20A54"/>
    <w:pPr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styleId="Zarkazkladnhotextu">
    <w:name w:val="Body Text Indent"/>
    <w:basedOn w:val="Normlny"/>
    <w:link w:val="ZarkazkladnhotextuChar"/>
    <w:rsid w:val="00E20A54"/>
    <w:pPr>
      <w:ind w:left="360"/>
      <w:jc w:val="both"/>
    </w:pPr>
    <w:rPr>
      <w:rFonts w:ascii="Arial" w:hAnsi="Arial"/>
      <w:szCs w:val="20"/>
    </w:rPr>
  </w:style>
  <w:style w:type="paragraph" w:styleId="Pta">
    <w:name w:val="footer"/>
    <w:basedOn w:val="Normlny"/>
    <w:link w:val="PtaChar"/>
    <w:rsid w:val="00E20A54"/>
    <w:pPr>
      <w:tabs>
        <w:tab w:val="center" w:pos="4536"/>
        <w:tab w:val="right" w:pos="9072"/>
      </w:tabs>
    </w:pPr>
    <w:rPr>
      <w:sz w:val="20"/>
      <w:szCs w:val="20"/>
      <w:lang w:eastAsia="cs-CZ"/>
    </w:rPr>
  </w:style>
  <w:style w:type="paragraph" w:styleId="Zkladntext">
    <w:name w:val="Body Text"/>
    <w:basedOn w:val="Normlny"/>
    <w:link w:val="ZkladntextChar"/>
    <w:rsid w:val="00E20A54"/>
    <w:rPr>
      <w:rFonts w:ascii="Arial" w:hAnsi="Arial"/>
      <w:color w:val="000000"/>
      <w:sz w:val="20"/>
      <w:szCs w:val="20"/>
      <w:lang w:eastAsia="cs-CZ"/>
    </w:rPr>
  </w:style>
  <w:style w:type="character" w:styleId="Hypertextovprepojenie">
    <w:name w:val="Hyperlink"/>
    <w:basedOn w:val="Predvolenpsmoodseku"/>
    <w:rsid w:val="00E20A54"/>
    <w:rPr>
      <w:color w:val="0000FF"/>
      <w:u w:val="single"/>
    </w:rPr>
  </w:style>
  <w:style w:type="character" w:styleId="PouitHypertextovPrepojenie">
    <w:name w:val="FollowedHyperlink"/>
    <w:basedOn w:val="Predvolenpsmoodseku"/>
    <w:rsid w:val="00FF48A1"/>
    <w:rPr>
      <w:color w:val="800080"/>
      <w:u w:val="single"/>
    </w:rPr>
  </w:style>
  <w:style w:type="paragraph" w:styleId="Textbubliny">
    <w:name w:val="Balloon Text"/>
    <w:basedOn w:val="Normlny"/>
    <w:link w:val="TextbublinyChar"/>
    <w:rsid w:val="00557E34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rsid w:val="00657CB2"/>
    <w:pPr>
      <w:tabs>
        <w:tab w:val="center" w:pos="4536"/>
        <w:tab w:val="right" w:pos="9072"/>
      </w:tabs>
    </w:pPr>
    <w:rPr>
      <w:rFonts w:ascii="Arial" w:hAnsi="Arial"/>
      <w:szCs w:val="20"/>
    </w:rPr>
  </w:style>
  <w:style w:type="paragraph" w:styleId="Zkladntext2">
    <w:name w:val="Body Text 2"/>
    <w:basedOn w:val="Normlny"/>
    <w:link w:val="Zkladntext2Char"/>
    <w:rsid w:val="00657CB2"/>
    <w:pPr>
      <w:spacing w:after="120" w:line="480" w:lineRule="auto"/>
    </w:pPr>
    <w:rPr>
      <w:rFonts w:ascii="Arial" w:hAnsi="Arial"/>
      <w:szCs w:val="20"/>
    </w:rPr>
  </w:style>
  <w:style w:type="paragraph" w:styleId="Zkladntext3">
    <w:name w:val="Body Text 3"/>
    <w:basedOn w:val="Normlny"/>
    <w:rsid w:val="00657CB2"/>
    <w:pPr>
      <w:spacing w:after="120"/>
    </w:pPr>
    <w:rPr>
      <w:rFonts w:ascii="Arial" w:hAnsi="Arial"/>
      <w:sz w:val="16"/>
      <w:szCs w:val="16"/>
    </w:rPr>
  </w:style>
  <w:style w:type="paragraph" w:styleId="Zarkazkladnhotextu3">
    <w:name w:val="Body Text Indent 3"/>
    <w:basedOn w:val="Normlny"/>
    <w:link w:val="Zarkazkladnhotextu3Char"/>
    <w:rsid w:val="00485707"/>
    <w:pPr>
      <w:spacing w:after="120"/>
      <w:ind w:left="283"/>
    </w:pPr>
    <w:rPr>
      <w:rFonts w:ascii="Arial" w:hAnsi="Arial"/>
      <w:sz w:val="16"/>
      <w:szCs w:val="16"/>
    </w:rPr>
  </w:style>
  <w:style w:type="paragraph" w:styleId="Zarkazkladnhotextu2">
    <w:name w:val="Body Text Indent 2"/>
    <w:basedOn w:val="Normlny"/>
    <w:link w:val="Zarkazkladnhotextu2Char"/>
    <w:rsid w:val="00485707"/>
    <w:pPr>
      <w:spacing w:after="120" w:line="480" w:lineRule="auto"/>
      <w:ind w:left="283"/>
    </w:pPr>
    <w:rPr>
      <w:rFonts w:ascii="Arial" w:hAnsi="Arial"/>
      <w:szCs w:val="20"/>
    </w:rPr>
  </w:style>
  <w:style w:type="character" w:styleId="slostrany">
    <w:name w:val="page number"/>
    <w:basedOn w:val="Predvolenpsmoodseku"/>
    <w:rsid w:val="00485707"/>
  </w:style>
  <w:style w:type="paragraph" w:customStyle="1" w:styleId="kSk">
    <w:name w:val="kSk"/>
    <w:basedOn w:val="Normlny"/>
    <w:rsid w:val="00485707"/>
    <w:pPr>
      <w:tabs>
        <w:tab w:val="left" w:pos="426"/>
        <w:tab w:val="decimal" w:pos="8080"/>
      </w:tabs>
      <w:spacing w:after="240" w:line="360" w:lineRule="auto"/>
    </w:pPr>
    <w:rPr>
      <w:rFonts w:ascii="Arial" w:hAnsi="Arial"/>
      <w:szCs w:val="20"/>
    </w:rPr>
  </w:style>
  <w:style w:type="table" w:styleId="Mriekatabuky">
    <w:name w:val="Table Grid"/>
    <w:basedOn w:val="Normlnatabuka"/>
    <w:rsid w:val="0048570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Veobecn">
    <w:name w:val="Všeobecný"/>
    <w:basedOn w:val="Normlny"/>
    <w:rsid w:val="00485707"/>
    <w:pPr>
      <w:jc w:val="both"/>
    </w:pPr>
    <w:rPr>
      <w:rFonts w:ascii="Arial" w:hAnsi="Arial"/>
      <w:szCs w:val="20"/>
      <w:lang w:eastAsia="cs-CZ"/>
    </w:rPr>
  </w:style>
  <w:style w:type="paragraph" w:customStyle="1" w:styleId="Char">
    <w:name w:val="Char"/>
    <w:basedOn w:val="Normlny"/>
    <w:rsid w:val="00475AA9"/>
    <w:pPr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styleId="truktradokumentu">
    <w:name w:val="Document Map"/>
    <w:basedOn w:val="Normlny"/>
    <w:semiHidden/>
    <w:rsid w:val="003B0253"/>
    <w:pPr>
      <w:shd w:val="clear" w:color="auto" w:fill="000080"/>
    </w:pPr>
    <w:rPr>
      <w:rFonts w:ascii="Tahoma" w:hAnsi="Tahoma" w:cs="Tahoma"/>
      <w:sz w:val="20"/>
      <w:szCs w:val="20"/>
    </w:rPr>
  </w:style>
  <w:style w:type="numbering" w:customStyle="1" w:styleId="Bezzoznamu1">
    <w:name w:val="Bez zoznamu1"/>
    <w:next w:val="Bezzoznamu"/>
    <w:uiPriority w:val="99"/>
    <w:semiHidden/>
    <w:unhideWhenUsed/>
    <w:rsid w:val="008F5CDC"/>
  </w:style>
  <w:style w:type="character" w:customStyle="1" w:styleId="Nadpis2Char">
    <w:name w:val="Nadpis 2 Char"/>
    <w:basedOn w:val="Predvolenpsmoodseku"/>
    <w:link w:val="Nadpis2"/>
    <w:rsid w:val="008F5CDC"/>
    <w:rPr>
      <w:rFonts w:ascii="Arial" w:hAnsi="Arial"/>
      <w:b/>
      <w:sz w:val="22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8F5CDC"/>
    <w:rPr>
      <w:rFonts w:ascii="Arial" w:hAnsi="Arial"/>
      <w:sz w:val="16"/>
      <w:szCs w:val="16"/>
    </w:rPr>
  </w:style>
  <w:style w:type="character" w:customStyle="1" w:styleId="ZarkazkladnhotextuChar">
    <w:name w:val="Zarážka základného textu Char"/>
    <w:basedOn w:val="Predvolenpsmoodseku"/>
    <w:link w:val="Zarkazkladnhotextu"/>
    <w:rsid w:val="008F5CDC"/>
    <w:rPr>
      <w:rFonts w:ascii="Arial" w:hAnsi="Arial"/>
      <w:sz w:val="24"/>
    </w:rPr>
  </w:style>
  <w:style w:type="character" w:customStyle="1" w:styleId="ZkladntextChar">
    <w:name w:val="Základný text Char"/>
    <w:basedOn w:val="Predvolenpsmoodseku"/>
    <w:link w:val="Zkladntext"/>
    <w:rsid w:val="008F5CDC"/>
    <w:rPr>
      <w:rFonts w:ascii="Arial" w:hAnsi="Arial"/>
      <w:color w:val="000000"/>
      <w:lang w:eastAsia="cs-CZ"/>
    </w:rPr>
  </w:style>
  <w:style w:type="character" w:customStyle="1" w:styleId="Zarkazkladnhotextu2Char">
    <w:name w:val="Zarážka základného textu 2 Char"/>
    <w:basedOn w:val="Predvolenpsmoodseku"/>
    <w:link w:val="Zarkazkladnhotextu2"/>
    <w:rsid w:val="008F5CDC"/>
    <w:rPr>
      <w:rFonts w:ascii="Arial" w:hAnsi="Arial"/>
      <w:sz w:val="24"/>
    </w:rPr>
  </w:style>
  <w:style w:type="character" w:customStyle="1" w:styleId="Zkladntext2Char">
    <w:name w:val="Základný text 2 Char"/>
    <w:basedOn w:val="Predvolenpsmoodseku"/>
    <w:link w:val="Zkladntext2"/>
    <w:rsid w:val="008F5CDC"/>
    <w:rPr>
      <w:rFonts w:ascii="Arial" w:hAnsi="Arial"/>
      <w:sz w:val="24"/>
    </w:rPr>
  </w:style>
  <w:style w:type="character" w:customStyle="1" w:styleId="PtaChar">
    <w:name w:val="Päta Char"/>
    <w:basedOn w:val="Predvolenpsmoodseku"/>
    <w:link w:val="Pta"/>
    <w:rsid w:val="008F5CDC"/>
    <w:rPr>
      <w:lang w:eastAsia="cs-CZ"/>
    </w:rPr>
  </w:style>
  <w:style w:type="character" w:customStyle="1" w:styleId="TextbublinyChar">
    <w:name w:val="Text bubliny Char"/>
    <w:basedOn w:val="Predvolenpsmoodseku"/>
    <w:link w:val="Textbubliny"/>
    <w:rsid w:val="008F5CDC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8F5CDC"/>
    <w:pPr>
      <w:ind w:left="720"/>
      <w:contextualSpacing/>
    </w:pPr>
    <w:rPr>
      <w:rFonts w:ascii="Arial" w:hAnsi="Arial"/>
      <w:szCs w:val="20"/>
    </w:rPr>
  </w:style>
  <w:style w:type="numbering" w:customStyle="1" w:styleId="Bezzoznamu2">
    <w:name w:val="Bez zoznamu2"/>
    <w:next w:val="Bezzoznamu"/>
    <w:uiPriority w:val="99"/>
    <w:semiHidden/>
    <w:unhideWhenUsed/>
    <w:rsid w:val="00D93F59"/>
  </w:style>
  <w:style w:type="numbering" w:customStyle="1" w:styleId="Bezzoznamu3">
    <w:name w:val="Bez zoznamu3"/>
    <w:next w:val="Bezzoznamu"/>
    <w:uiPriority w:val="99"/>
    <w:semiHidden/>
    <w:unhideWhenUsed/>
    <w:rsid w:val="00D93F59"/>
  </w:style>
  <w:style w:type="numbering" w:customStyle="1" w:styleId="Bezzoznamu4">
    <w:name w:val="Bez zoznamu4"/>
    <w:next w:val="Bezzoznamu"/>
    <w:uiPriority w:val="99"/>
    <w:semiHidden/>
    <w:unhideWhenUsed/>
    <w:rsid w:val="00A70CDF"/>
  </w:style>
  <w:style w:type="numbering" w:customStyle="1" w:styleId="Bezzoznamu5">
    <w:name w:val="Bez zoznamu5"/>
    <w:next w:val="Bezzoznamu"/>
    <w:uiPriority w:val="99"/>
    <w:semiHidden/>
    <w:unhideWhenUsed/>
    <w:rsid w:val="00445B8E"/>
  </w:style>
  <w:style w:type="numbering" w:customStyle="1" w:styleId="Bezzoznamu6">
    <w:name w:val="Bez zoznamu6"/>
    <w:next w:val="Bezzoznamu"/>
    <w:uiPriority w:val="99"/>
    <w:semiHidden/>
    <w:unhideWhenUsed/>
    <w:rsid w:val="0008569A"/>
  </w:style>
  <w:style w:type="numbering" w:customStyle="1" w:styleId="Bezzoznamu7">
    <w:name w:val="Bez zoznamu7"/>
    <w:next w:val="Bezzoznamu"/>
    <w:uiPriority w:val="99"/>
    <w:semiHidden/>
    <w:unhideWhenUsed/>
    <w:rsid w:val="008A38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80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07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://www.epi.sk/Main/Default.aspx?Template=~/Main/TArticles.ascx&amp;phContent=~/ZzSR/ShowRule.ascx&amp;RuleId=0&amp;FragmentId1=5345907&amp;FragmentId2=5345908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wmf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.xlsx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35"/>
      <c:rotY val="0"/>
      <c:rAngAx val="0"/>
      <c:perspective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22188466313392199"/>
          <c:y val="0.22000047743159165"/>
          <c:w val="0.55775117376814642"/>
          <c:h val="0.56222344232517862"/>
        </c:manualLayout>
      </c:layout>
      <c:pie3DChart>
        <c:varyColors val="1"/>
        <c:ser>
          <c:idx val="0"/>
          <c:order val="0"/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explosion val="16"/>
          <c:dPt>
            <c:idx val="0"/>
            <c:bubble3D val="0"/>
            <c:explosion val="8"/>
            <c:spPr>
              <a:pattFill prst="pct70">
                <a:fgClr>
                  <a:srgbClr xmlns:mc="http://schemas.openxmlformats.org/markup-compatibility/2006" xmlns:a14="http://schemas.microsoft.com/office/drawing/2010/main" val="FFFFFF" mc:Ignorable="a14" a14:legacySpreadsheetColorIndex="9"/>
                </a:fgClr>
                <a:bgClr>
                  <a:srgbClr xmlns:mc="http://schemas.openxmlformats.org/markup-compatibility/2006" xmlns:a14="http://schemas.microsoft.com/office/drawing/2010/main" val="000000" mc:Ignorable="a14" a14:legacySpreadsheetColorIndex="8"/>
                </a:bgClr>
              </a:pattFill>
              <a:ln w="12700">
                <a:solidFill>
                  <a:srgbClr val="000000"/>
                </a:solidFill>
                <a:prstDash val="solid"/>
              </a:ln>
            </c:spPr>
          </c:dPt>
          <c:dPt>
            <c:idx val="1"/>
            <c:bubble3D val="0"/>
            <c:explosion val="2"/>
            <c:spPr>
              <a:pattFill prst="smConfetti">
                <a:fgClr>
                  <a:srgbClr xmlns:mc="http://schemas.openxmlformats.org/markup-compatibility/2006" xmlns:a14="http://schemas.microsoft.com/office/drawing/2010/main" val="000000" mc:Ignorable="a14" a14:legacySpreadsheetColorIndex="8"/>
                </a:fgClr>
                <a:bgClr>
                  <a:srgbClr xmlns:mc="http://schemas.openxmlformats.org/markup-compatibility/2006" xmlns:a14="http://schemas.microsoft.com/office/drawing/2010/main" val="FFFFFF" mc:Ignorable="a14" a14:legacySpreadsheetColorIndex="9"/>
                </a:bgClr>
              </a:pattFill>
              <a:ln w="12700">
                <a:solidFill>
                  <a:srgbClr val="000000"/>
                </a:solidFill>
                <a:prstDash val="solid"/>
              </a:ln>
            </c:spPr>
          </c:dPt>
          <c:dPt>
            <c:idx val="2"/>
            <c:bubble3D val="0"/>
            <c:explosion val="27"/>
            <c:spPr>
              <a:solidFill>
                <a:srgbClr val="FFFFFF"/>
              </a:solidFill>
              <a:ln w="12700">
                <a:solidFill>
                  <a:srgbClr val="000000"/>
                </a:solidFill>
                <a:prstDash val="solid"/>
              </a:ln>
            </c:spPr>
          </c:dPt>
          <c:dPt>
            <c:idx val="3"/>
            <c:bubble3D val="0"/>
            <c:spPr>
              <a:pattFill prst="pct60">
                <a:fgClr>
                  <a:srgbClr xmlns:mc="http://schemas.openxmlformats.org/markup-compatibility/2006" xmlns:a14="http://schemas.microsoft.com/office/drawing/2010/main" val="FFFFFF" mc:Ignorable="a14" a14:legacySpreadsheetColorIndex="9"/>
                </a:fgClr>
                <a:bgClr>
                  <a:srgbClr xmlns:mc="http://schemas.openxmlformats.org/markup-compatibility/2006" xmlns:a14="http://schemas.microsoft.com/office/drawing/2010/main" val="000000" mc:Ignorable="a14" a14:legacySpreadsheetColorIndex="8"/>
                </a:bgClr>
              </a:pattFill>
              <a:ln w="12700">
                <a:solidFill>
                  <a:srgbClr val="000000"/>
                </a:solidFill>
                <a:prstDash val="solid"/>
              </a:ln>
            </c:spPr>
          </c:dPt>
          <c:dPt>
            <c:idx val="4"/>
            <c:bubble3D val="0"/>
            <c:spPr>
              <a:pattFill prst="wdDnDiag">
                <a:fgClr>
                  <a:srgbClr xmlns:mc="http://schemas.openxmlformats.org/markup-compatibility/2006" xmlns:a14="http://schemas.microsoft.com/office/drawing/2010/main" val="000000" mc:Ignorable="a14" a14:legacySpreadsheetColorIndex="8"/>
                </a:fgClr>
                <a:bgClr>
                  <a:srgbClr xmlns:mc="http://schemas.openxmlformats.org/markup-compatibility/2006" xmlns:a14="http://schemas.microsoft.com/office/drawing/2010/main" val="FFFFFF" mc:Ignorable="a14" a14:legacySpreadsheetColorIndex="9"/>
                </a:bgClr>
              </a:pattFill>
              <a:ln w="12700">
                <a:solidFill>
                  <a:srgbClr val="000000"/>
                </a:solidFill>
                <a:prstDash val="solid"/>
              </a:ln>
            </c:spPr>
          </c:dPt>
          <c:dPt>
            <c:idx val="5"/>
            <c:bubble3D val="0"/>
            <c:spPr>
              <a:solidFill>
                <a:srgbClr val="FFFFFF"/>
              </a:solidFill>
              <a:ln w="12700">
                <a:solidFill>
                  <a:srgbClr val="000000"/>
                </a:solidFill>
                <a:prstDash val="solid"/>
              </a:ln>
            </c:spPr>
          </c:dPt>
          <c:dLbls>
            <c:dLbl>
              <c:idx val="0"/>
              <c:layout>
                <c:manualLayout>
                  <c:x val="8.2482121029475469E-2"/>
                  <c:y val="7.4342531725760524E-2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1"/>
              <c:layout>
                <c:manualLayout>
                  <c:x val="-0.10861320027923835"/>
                  <c:y val="3.075591540877979E-3"/>
                </c:manualLayout>
              </c:layout>
              <c:tx>
                <c:rich>
                  <a:bodyPr/>
                  <a:lstStyle/>
                  <a:p>
                    <a:pPr>
                      <a:defRPr sz="800" b="0" i="0" u="none" strike="noStrike" baseline="0">
                        <a:solidFill>
                          <a:srgbClr val="0000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sk-SK"/>
                      <a:t>predčasné star.
3,29%</a:t>
                    </a:r>
                  </a:p>
                </c:rich>
              </c:tx>
              <c:spPr>
                <a:noFill/>
                <a:ln w="25400">
                  <a:noFill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8.5241643487577887E-2"/>
                  <c:y val="-4.0663635267564002E-2"/>
                </c:manualLayout>
              </c:layout>
              <c:tx>
                <c:rich>
                  <a:bodyPr/>
                  <a:lstStyle/>
                  <a:p>
                    <a:pPr>
                      <a:defRPr sz="800" b="0" i="0" u="none" strike="noStrike" baseline="0">
                        <a:solidFill>
                          <a:srgbClr val="0000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sk-SK"/>
                      <a:t>vdovecké
0,78%</a:t>
                    </a:r>
                  </a:p>
                </c:rich>
              </c:tx>
              <c:spPr>
                <a:noFill/>
                <a:ln w="25400">
                  <a:noFill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1.2358118156578743E-2"/>
                  <c:y val="-0.14467362311418389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4"/>
              <c:layout>
                <c:manualLayout>
                  <c:x val="-2.2717156563455319E-2"/>
                  <c:y val="-0.12752293819677032"/>
                </c:manualLayout>
              </c:layout>
              <c:tx>
                <c:rich>
                  <a:bodyPr/>
                  <a:lstStyle/>
                  <a:p>
                    <a:pPr>
                      <a:defRPr sz="800" b="0" i="0" u="none" strike="noStrike" baseline="0">
                        <a:solidFill>
                          <a:srgbClr val="000000"/>
                        </a:solidFill>
                        <a:latin typeface="Arial"/>
                        <a:ea typeface="Arial"/>
                        <a:cs typeface="Arial"/>
                      </a:defRPr>
                    </a:pPr>
                    <a:r>
                      <a:rPr lang="sk-SK"/>
                      <a:t>invalidné
12,78%</a:t>
                    </a:r>
                  </a:p>
                </c:rich>
              </c:tx>
              <c:spPr>
                <a:noFill/>
                <a:ln w="25400">
                  <a:noFill/>
                </a:ln>
              </c:spPr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7.9262171920881849E-3"/>
                  <c:y val="-0.16670439924921993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numFmt formatCode="0.00%" sourceLinked="0"/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80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endParaRPr lang="sk-SK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strRef>
              <c:f>Grafy!$B$121:$G$121</c:f>
              <c:strCache>
                <c:ptCount val="6"/>
                <c:pt idx="0">
                  <c:v>starobné </c:v>
                </c:pt>
                <c:pt idx="1">
                  <c:v>predčasné starobné</c:v>
                </c:pt>
                <c:pt idx="2">
                  <c:v>vdovecké</c:v>
                </c:pt>
                <c:pt idx="3">
                  <c:v>vdovské</c:v>
                </c:pt>
                <c:pt idx="4">
                  <c:v>invalidné</c:v>
                </c:pt>
                <c:pt idx="5">
                  <c:v>sirotské</c:v>
                </c:pt>
              </c:strCache>
            </c:strRef>
          </c:cat>
          <c:val>
            <c:numRef>
              <c:f>Grafy!$B$122:$G$122</c:f>
              <c:numCache>
                <c:formatCode>0.00</c:formatCode>
                <c:ptCount val="6"/>
                <c:pt idx="0" formatCode="General">
                  <c:v>72.77</c:v>
                </c:pt>
                <c:pt idx="1">
                  <c:v>3.29</c:v>
                </c:pt>
                <c:pt idx="2" formatCode="General">
                  <c:v>0.78</c:v>
                </c:pt>
                <c:pt idx="3">
                  <c:v>9.58</c:v>
                </c:pt>
                <c:pt idx="4" formatCode="General">
                  <c:v>12.78</c:v>
                </c:pt>
                <c:pt idx="5" formatCode="General">
                  <c:v>0.8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400">
          <a:noFill/>
        </a:ln>
      </c:spPr>
    </c:plotArea>
    <c:plotVisOnly val="1"/>
    <c:dispBlanksAs val="zero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075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sk-SK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9335728211799622"/>
          <c:y val="0.14345128907395996"/>
          <c:w val="0.70210118172326674"/>
          <c:h val="0.6680710160778911"/>
        </c:manualLayout>
      </c:layout>
      <c:lineChart>
        <c:grouping val="standard"/>
        <c:varyColors val="0"/>
        <c:ser>
          <c:idx val="0"/>
          <c:order val="0"/>
          <c:tx>
            <c:strRef>
              <c:f>Grafy!$A$5</c:f>
              <c:strCache>
                <c:ptCount val="1"/>
                <c:pt idx="0">
                  <c:v>rok</c:v>
                </c:pt>
              </c:strCache>
            </c:strRef>
          </c:tx>
          <c:spPr>
            <a:ln w="12700">
              <a:solidFill>
                <a:srgbClr val="000080"/>
              </a:solidFill>
              <a:prstDash val="solid"/>
            </a:ln>
          </c:spPr>
          <c:marker>
            <c:symbol val="diamond"/>
            <c:size val="5"/>
            <c:spPr>
              <a:pattFill prst="dashVert">
                <a:fgClr>
                  <a:srgbClr xmlns:mc="http://schemas.openxmlformats.org/markup-compatibility/2006" xmlns:a14="http://schemas.microsoft.com/office/drawing/2010/main" val="000000" mc:Ignorable="a14" a14:legacySpreadsheetColorIndex="8"/>
                </a:fgClr>
                <a:bgClr>
                  <a:srgbClr xmlns:mc="http://schemas.openxmlformats.org/markup-compatibility/2006" xmlns:a14="http://schemas.microsoft.com/office/drawing/2010/main" val="FFFFFF" mc:Ignorable="a14" a14:legacySpreadsheetColorIndex="9"/>
                </a:bgClr>
              </a:pattFill>
              <a:ln>
                <a:solidFill>
                  <a:srgbClr val="000080"/>
                </a:solidFill>
                <a:prstDash val="solid"/>
              </a:ln>
            </c:spPr>
          </c:marker>
          <c:dLbls>
            <c:dLbl>
              <c:idx val="0"/>
              <c:layout>
                <c:manualLayout>
                  <c:x val="-1.8626022953565122E-2"/>
                  <c:y val="-9.136232693751418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2489145961312476E-2"/>
                  <c:y val="-8.426139637201669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2.2192621364688664E-2"/>
                  <c:y val="-8.107012122376056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2.4268575007212571E-2"/>
                  <c:y val="-8.321013088441550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1.8040714079640849E-2"/>
                  <c:y val="-9.039812373785871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1.7744330216095641E-2"/>
                  <c:y val="-9.259795962311806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2.5735435885527715E-2"/>
                  <c:y val="-8.919228777112395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2.1279122951454125E-2"/>
                  <c:y val="-8.031775407231524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2.6328485078775339E-2"/>
                  <c:y val="-8.383981935739186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2.6047863320034056E-2"/>
                  <c:y val="-8.662418306359155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-2.8123816962557963E-2"/>
                  <c:y val="-9.071378272837846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1"/>
              <c:layout>
                <c:manualLayout>
                  <c:x val="-2.3082335887638711E-2"/>
                  <c:y val="-8.141371463822011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2.2785811291014896E-2"/>
                  <c:y val="-9.12808515343564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3"/>
              <c:layout>
                <c:manualLayout>
                  <c:x val="-1.6510241849795586E-2"/>
                  <c:y val="-8.727528792825509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4"/>
              <c:layout>
                <c:manualLayout>
                  <c:x val="-1.9851948801306002E-2"/>
                  <c:y val="-9.44425627506096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5"/>
              <c:layout>
                <c:manualLayout>
                  <c:x val="-2.4268434274133964E-2"/>
                  <c:y val="-8.261745552315938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6"/>
              <c:layout>
                <c:manualLayout>
                  <c:x val="-2.0515223800778255E-2"/>
                  <c:y val="-9.381869394928737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7"/>
              <c:layout>
                <c:manualLayout>
                  <c:x val="-1.9000091476501096E-2"/>
                  <c:y val="-0.1020730834366325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8"/>
              <c:layout>
                <c:manualLayout>
                  <c:x val="-2.6794311568962725E-2"/>
                  <c:y val="-9.779027067292862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9"/>
              <c:layout>
                <c:manualLayout>
                  <c:x val="-2.6238221192804917E-2"/>
                  <c:y val="-9.667848060012454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0"/>
              <c:layout>
                <c:manualLayout>
                  <c:x val="-2.0332911001749016E-2"/>
                  <c:y val="-9.867486076435567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1"/>
              <c:layout>
                <c:manualLayout>
                  <c:x val="-1.8626266775467866E-2"/>
                  <c:y val="-9.642381176854002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2"/>
              <c:layout>
                <c:manualLayout>
                  <c:xMode val="edge"/>
                  <c:yMode val="edge"/>
                  <c:x val="0.9205230118010127"/>
                  <c:y val="6.444912987380810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3"/>
              <c:layout>
                <c:manualLayout>
                  <c:xMode val="edge"/>
                  <c:yMode val="edge"/>
                  <c:x val="0.95255151865491394"/>
                  <c:y val="3.742207541059824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numFmt formatCode="#,##0" sourceLinked="0"/>
            <c:spPr>
              <a:noFill/>
              <a:ln w="25400">
                <a:noFill/>
              </a:ln>
            </c:spPr>
            <c:txPr>
              <a:bodyPr rot="-5400000" vert="horz"/>
              <a:lstStyle/>
              <a:p>
                <a:pPr algn="ctr" rtl="0">
                  <a:defRPr/>
                </a:pPr>
                <a:endParaRPr lang="sk-SK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Grafy!$B$4:$W$4</c:f>
              <c:strCache>
                <c:ptCount val="22"/>
                <c:pt idx="0">
                  <c:v>k 31.1.2010</c:v>
                </c:pt>
                <c:pt idx="1">
                  <c:v>k 28.2.2010</c:v>
                </c:pt>
                <c:pt idx="2">
                  <c:v>k 31.3.2010</c:v>
                </c:pt>
                <c:pt idx="3">
                  <c:v>k 30.4.2010</c:v>
                </c:pt>
                <c:pt idx="4">
                  <c:v>k 31.5.2010</c:v>
                </c:pt>
                <c:pt idx="5">
                  <c:v>k 30.6.2010</c:v>
                </c:pt>
                <c:pt idx="6">
                  <c:v>k 31.7.2010</c:v>
                </c:pt>
                <c:pt idx="7">
                  <c:v>k 31.8.2010</c:v>
                </c:pt>
                <c:pt idx="8">
                  <c:v>k 30.9.2010</c:v>
                </c:pt>
                <c:pt idx="9">
                  <c:v>k 31.10.2010</c:v>
                </c:pt>
                <c:pt idx="10">
                  <c:v>k 30.11.2010</c:v>
                </c:pt>
                <c:pt idx="11">
                  <c:v>k 31.12.2010</c:v>
                </c:pt>
                <c:pt idx="12">
                  <c:v>k 31.1.2011</c:v>
                </c:pt>
                <c:pt idx="13">
                  <c:v>k 28.2.2011</c:v>
                </c:pt>
                <c:pt idx="14">
                  <c:v>k 31.3.2011</c:v>
                </c:pt>
                <c:pt idx="15">
                  <c:v>k 30.4.2011</c:v>
                </c:pt>
                <c:pt idx="16">
                  <c:v>k 31.5.2011</c:v>
                </c:pt>
                <c:pt idx="17">
                  <c:v>k 30.6.2011</c:v>
                </c:pt>
                <c:pt idx="18">
                  <c:v>k 31.7.2011</c:v>
                </c:pt>
                <c:pt idx="19">
                  <c:v>k 31.8.2011</c:v>
                </c:pt>
                <c:pt idx="20">
                  <c:v>k 30.9.2011</c:v>
                </c:pt>
                <c:pt idx="21">
                  <c:v>k 31.10.2010</c:v>
                </c:pt>
              </c:strCache>
            </c:strRef>
          </c:cat>
          <c:val>
            <c:numRef>
              <c:f>Grafy!$B$5:$W$5</c:f>
              <c:numCache>
                <c:formatCode>#,##0</c:formatCode>
                <c:ptCount val="22"/>
                <c:pt idx="0">
                  <c:v>1573831</c:v>
                </c:pt>
                <c:pt idx="1">
                  <c:v>1569898</c:v>
                </c:pt>
                <c:pt idx="2">
                  <c:v>1570033</c:v>
                </c:pt>
                <c:pt idx="3">
                  <c:v>1572841</c:v>
                </c:pt>
                <c:pt idx="4">
                  <c:v>1575064</c:v>
                </c:pt>
                <c:pt idx="5" formatCode="0">
                  <c:v>1577360</c:v>
                </c:pt>
                <c:pt idx="6" formatCode="0">
                  <c:v>1578637</c:v>
                </c:pt>
                <c:pt idx="7" formatCode="0">
                  <c:v>1580219</c:v>
                </c:pt>
                <c:pt idx="8" formatCode="0">
                  <c:v>1581558</c:v>
                </c:pt>
                <c:pt idx="9" formatCode="0">
                  <c:v>1584899</c:v>
                </c:pt>
                <c:pt idx="10" formatCode="0">
                  <c:v>1590207</c:v>
                </c:pt>
                <c:pt idx="11" formatCode="0">
                  <c:v>1595772</c:v>
                </c:pt>
                <c:pt idx="12">
                  <c:v>1599184</c:v>
                </c:pt>
                <c:pt idx="13">
                  <c:v>1597730</c:v>
                </c:pt>
                <c:pt idx="14">
                  <c:v>1588616</c:v>
                </c:pt>
                <c:pt idx="15">
                  <c:v>1588812</c:v>
                </c:pt>
                <c:pt idx="16">
                  <c:v>1589031</c:v>
                </c:pt>
                <c:pt idx="17" formatCode="0">
                  <c:v>1588977</c:v>
                </c:pt>
                <c:pt idx="18" formatCode="0">
                  <c:v>1588427</c:v>
                </c:pt>
                <c:pt idx="19" formatCode="0">
                  <c:v>1588371</c:v>
                </c:pt>
                <c:pt idx="20" formatCode="0">
                  <c:v>1587963</c:v>
                </c:pt>
                <c:pt idx="21" formatCode="0">
                  <c:v>1586841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dropLines>
          <c:spPr>
            <a:ln w="3175">
              <a:solidFill>
                <a:srgbClr val="000000"/>
              </a:solidFill>
              <a:prstDash val="solid"/>
            </a:ln>
          </c:spPr>
        </c:dropLines>
        <c:marker val="1"/>
        <c:smooth val="0"/>
        <c:axId val="95421568"/>
        <c:axId val="95423104"/>
      </c:lineChart>
      <c:catAx>
        <c:axId val="9542156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-3600000" vert="horz"/>
          <a:lstStyle/>
          <a:p>
            <a:pPr>
              <a:defRPr/>
            </a:pPr>
            <a:endParaRPr lang="sk-SK"/>
          </a:p>
        </c:txPr>
        <c:crossAx val="9542310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95423104"/>
        <c:scaling>
          <c:orientation val="minMax"/>
          <c:max val="1610000"/>
          <c:min val="1530000"/>
        </c:scaling>
        <c:delete val="0"/>
        <c:axPos val="l"/>
        <c:title>
          <c:tx>
            <c:rich>
              <a:bodyPr/>
              <a:lstStyle/>
              <a:p>
                <a:pPr>
                  <a:defRPr/>
                </a:pPr>
                <a:r>
                  <a:rPr lang="sk-SK"/>
                  <a:t>počty</a:t>
                </a:r>
              </a:p>
            </c:rich>
          </c:tx>
          <c:layout>
            <c:manualLayout>
              <c:xMode val="edge"/>
              <c:yMode val="edge"/>
              <c:x val="6.1159021788943037E-2"/>
              <c:y val="0.43243273997481635"/>
            </c:manualLayout>
          </c:layout>
          <c:overlay val="0"/>
          <c:spPr>
            <a:noFill/>
            <a:ln w="25400">
              <a:noFill/>
            </a:ln>
          </c:spPr>
        </c:title>
        <c:numFmt formatCode="#,##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sk-SK"/>
          </a:p>
        </c:txPr>
        <c:crossAx val="95421568"/>
        <c:crosses val="autoZero"/>
        <c:crossBetween val="between"/>
        <c:majorUnit val="10000"/>
      </c:valAx>
      <c:spPr>
        <a:solidFill>
          <a:srgbClr val="FFFFFF"/>
        </a:solidFill>
        <a:ln w="25400">
          <a:noFill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800" b="0" i="0" u="none" strike="noStrike" baseline="0">
          <a:solidFill>
            <a:srgbClr val="000000"/>
          </a:solidFill>
          <a:latin typeface="Arial CE"/>
          <a:ea typeface="Arial CE"/>
          <a:cs typeface="Arial CE"/>
        </a:defRPr>
      </a:pPr>
      <a:endParaRPr lang="sk-SK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D7612E-038E-4DBD-BB9B-51F34CE77C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23</Pages>
  <Words>7344</Words>
  <Characters>37822</Characters>
  <Application>Microsoft Office Word</Application>
  <DocSecurity>0</DocSecurity>
  <Lines>315</Lines>
  <Paragraphs>90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 </vt:lpstr>
    </vt:vector>
  </TitlesOfParts>
  <Company>Sociálna poisťovňa</Company>
  <LinksUpToDate>false</LinksUpToDate>
  <CharactersWithSpaces>45076</CharactersWithSpaces>
  <SharedDoc>false</SharedDoc>
  <HLinks>
    <vt:vector size="6" baseType="variant">
      <vt:variant>
        <vt:i4>8126497</vt:i4>
      </vt:variant>
      <vt:variant>
        <vt:i4>0</vt:i4>
      </vt:variant>
      <vt:variant>
        <vt:i4>0</vt:i4>
      </vt:variant>
      <vt:variant>
        <vt:i4>5</vt:i4>
      </vt:variant>
      <vt:variant>
        <vt:lpwstr>http://www.epi.sk/Main/Default.aspx?Template=~/Main/TArticles.ascx&amp;phContent=~/ZzSR/ShowRule.ascx&amp;RuleId=0&amp;FragmentId1=5345907&amp;FragmentId2=5345908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szabova_z</dc:creator>
  <cp:keywords/>
  <dc:description/>
  <cp:lastModifiedBy>mihalcova_r</cp:lastModifiedBy>
  <cp:revision>6</cp:revision>
  <cp:lastPrinted>2011-11-23T12:45:00Z</cp:lastPrinted>
  <dcterms:created xsi:type="dcterms:W3CDTF">2011-11-23T12:40:00Z</dcterms:created>
  <dcterms:modified xsi:type="dcterms:W3CDTF">2011-11-28T12:24:00Z</dcterms:modified>
</cp:coreProperties>
</file>